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70"/>
        </w:tabs>
        <w:rPr>
          <w:rFonts w:ascii="仿宋_GB2312" w:eastAsia="仿宋_GB2312"/>
          <w:b w:val="0"/>
          <w:bCs/>
          <w:sz w:val="32"/>
          <w:szCs w:val="32"/>
        </w:rPr>
      </w:pPr>
      <w:r>
        <w:rPr>
          <w:rFonts w:hint="eastAsia" w:ascii="仿宋_GB2312" w:eastAsia="仿宋_GB2312"/>
          <w:b w:val="0"/>
          <w:bCs/>
          <w:sz w:val="32"/>
          <w:szCs w:val="32"/>
        </w:rPr>
        <w:t>附件：</w:t>
      </w:r>
    </w:p>
    <w:p>
      <w:pPr>
        <w:tabs>
          <w:tab w:val="left" w:pos="870"/>
        </w:tabs>
        <w:jc w:val="center"/>
        <w:rPr>
          <w:rFonts w:ascii="宋体" w:hAnsi="宋体"/>
          <w:b/>
          <w:sz w:val="44"/>
          <w:szCs w:val="44"/>
        </w:rPr>
      </w:pPr>
      <w:r>
        <w:rPr>
          <w:rFonts w:hint="eastAsia" w:ascii="宋体" w:hAnsi="宋体"/>
          <w:b/>
          <w:sz w:val="44"/>
          <w:szCs w:val="44"/>
        </w:rPr>
        <w:t>河源市知识产权优</w:t>
      </w:r>
      <w:bookmarkStart w:id="0" w:name="_GoBack"/>
      <w:bookmarkEnd w:id="0"/>
      <w:r>
        <w:rPr>
          <w:rFonts w:hint="eastAsia" w:ascii="宋体" w:hAnsi="宋体"/>
          <w:b/>
          <w:sz w:val="44"/>
          <w:szCs w:val="44"/>
        </w:rPr>
        <w:t>势企业认定办法</w:t>
      </w:r>
    </w:p>
    <w:p>
      <w:pPr>
        <w:tabs>
          <w:tab w:val="left" w:pos="870"/>
        </w:tabs>
        <w:ind w:firstLine="640" w:firstLineChars="200"/>
        <w:rPr>
          <w:rFonts w:ascii="仿宋_GB2312" w:eastAsia="仿宋_GB2312"/>
          <w:sz w:val="32"/>
          <w:szCs w:val="32"/>
        </w:rPr>
      </w:pPr>
    </w:p>
    <w:p>
      <w:pPr>
        <w:tabs>
          <w:tab w:val="left" w:pos="870"/>
        </w:tabs>
        <w:ind w:firstLine="640" w:firstLineChars="200"/>
        <w:rPr>
          <w:rFonts w:ascii="仿宋_GB2312" w:eastAsia="仿宋_GB2312"/>
          <w:sz w:val="32"/>
          <w:szCs w:val="32"/>
        </w:rPr>
      </w:pPr>
      <w:r>
        <w:rPr>
          <w:rFonts w:hint="eastAsia" w:ascii="仿宋_GB2312" w:eastAsia="仿宋_GB2312"/>
          <w:sz w:val="32"/>
          <w:szCs w:val="32"/>
        </w:rPr>
        <w:t>第一条  为贯彻落实《广东省知识产权战略纲要》和市政府《关于大力推进知识产权工作的实施意见》，促进我市企业建立和完善知识产权工作体系和管理制度，把知识产权工作贯穿于企业技术创新和经营管理的全过程，提高民营企业运用知识产权制度的能力和水平，增强民营企业竞争力和可持续发展能力。</w:t>
      </w:r>
    </w:p>
    <w:p>
      <w:pPr>
        <w:tabs>
          <w:tab w:val="left" w:pos="870"/>
        </w:tabs>
        <w:ind w:firstLine="640" w:firstLineChars="200"/>
        <w:rPr>
          <w:rFonts w:ascii="仿宋_GB2312" w:eastAsia="仿宋_GB2312"/>
          <w:sz w:val="32"/>
          <w:szCs w:val="32"/>
        </w:rPr>
      </w:pPr>
      <w:r>
        <w:rPr>
          <w:rFonts w:hint="eastAsia" w:ascii="仿宋_GB2312" w:eastAsia="仿宋_GB2312"/>
          <w:sz w:val="32"/>
          <w:szCs w:val="32"/>
        </w:rPr>
        <w:t>第二条 “河源市知识产权优势企业”的考核认定工作，由市知识产权局负责组织实施。市知识产权局成立“河源市知识产权优势企业”培育和认定工作领导小组，领导小组由市知识产权局领导及科室负责同志组成，负责该项工作的组织领导。领导小组下设考核认定组，考核认定组设在市知识产权局知识产权办公室。考核认定组依据《河源市知识产权优势企业认定办法》，对各县区知识产权局（科技局）组织推荐的企业开展考核认定工作，考核认定结果报领导小组审定。</w:t>
      </w:r>
    </w:p>
    <w:p>
      <w:pPr>
        <w:tabs>
          <w:tab w:val="left" w:pos="870"/>
        </w:tabs>
        <w:ind w:firstLine="640" w:firstLineChars="200"/>
        <w:rPr>
          <w:rFonts w:ascii="仿宋_GB2312" w:eastAsia="仿宋_GB2312"/>
          <w:sz w:val="32"/>
          <w:szCs w:val="32"/>
        </w:rPr>
      </w:pPr>
      <w:r>
        <w:rPr>
          <w:rFonts w:hint="eastAsia" w:ascii="仿宋_GB2312" w:eastAsia="仿宋_GB2312"/>
          <w:sz w:val="32"/>
          <w:szCs w:val="32"/>
        </w:rPr>
        <w:t>第三条  本办法所指知识产权工作，是以专利工作为主体的知识产权工作。</w:t>
      </w:r>
    </w:p>
    <w:p>
      <w:pPr>
        <w:tabs>
          <w:tab w:val="left" w:pos="870"/>
        </w:tabs>
        <w:ind w:firstLine="640" w:firstLineChars="200"/>
        <w:rPr>
          <w:rFonts w:ascii="仿宋_GB2312" w:eastAsia="仿宋_GB2312"/>
          <w:sz w:val="32"/>
          <w:szCs w:val="32"/>
        </w:rPr>
      </w:pPr>
      <w:r>
        <w:rPr>
          <w:rFonts w:hint="eastAsia" w:ascii="仿宋_GB2312" w:eastAsia="仿宋_GB2312"/>
          <w:sz w:val="32"/>
          <w:szCs w:val="32"/>
        </w:rPr>
        <w:t>第四条 1、认定条件企业领导高度重视知识产权工作，有领导分管知识产权工作。</w:t>
      </w:r>
    </w:p>
    <w:p>
      <w:pPr>
        <w:tabs>
          <w:tab w:val="left" w:pos="870"/>
        </w:tabs>
        <w:ind w:firstLine="640" w:firstLineChars="200"/>
        <w:rPr>
          <w:rFonts w:ascii="仿宋_GB2312" w:eastAsia="仿宋_GB2312"/>
          <w:sz w:val="32"/>
          <w:szCs w:val="32"/>
        </w:rPr>
      </w:pPr>
      <w:r>
        <w:rPr>
          <w:rFonts w:hint="eastAsia" w:ascii="仿宋_GB2312" w:eastAsia="仿宋_GB2312"/>
          <w:sz w:val="32"/>
          <w:szCs w:val="32"/>
        </w:rPr>
        <w:t>2、企业已设立专门的知识产权管理机构，配备专职工作人员。</w:t>
      </w:r>
    </w:p>
    <w:p>
      <w:pPr>
        <w:tabs>
          <w:tab w:val="left" w:pos="870"/>
        </w:tabs>
        <w:ind w:firstLine="640" w:firstLineChars="200"/>
        <w:rPr>
          <w:rFonts w:ascii="仿宋_GB2312" w:eastAsia="仿宋_GB2312"/>
          <w:sz w:val="32"/>
          <w:szCs w:val="32"/>
        </w:rPr>
      </w:pPr>
      <w:r>
        <w:rPr>
          <w:rFonts w:hint="eastAsia" w:ascii="仿宋_GB2312" w:eastAsia="仿宋_GB2312"/>
          <w:sz w:val="32"/>
          <w:szCs w:val="32"/>
        </w:rPr>
        <w:t>3、企业已建立较为健全的知识产权管理制度和激励机制。</w:t>
      </w:r>
    </w:p>
    <w:p>
      <w:pPr>
        <w:tabs>
          <w:tab w:val="left" w:pos="870"/>
        </w:tabs>
        <w:ind w:firstLine="640" w:firstLineChars="200"/>
        <w:rPr>
          <w:rFonts w:ascii="仿宋_GB2312" w:eastAsia="仿宋_GB2312"/>
          <w:sz w:val="32"/>
          <w:szCs w:val="32"/>
        </w:rPr>
      </w:pPr>
      <w:r>
        <w:rPr>
          <w:rFonts w:hint="eastAsia" w:ascii="仿宋_GB2312" w:eastAsia="仿宋_GB2312"/>
          <w:sz w:val="32"/>
          <w:szCs w:val="32"/>
        </w:rPr>
        <w:t>4、企业的知识产权宣传培训工作制度化，管理层及研发人员参加由省或市知识产权部门组织的专利知识培训率达到80%以上；企业自行组织或上级业务部门到企业对员工进行专利知识的培训率要达到60%以上。</w:t>
      </w:r>
    </w:p>
    <w:p>
      <w:pPr>
        <w:tabs>
          <w:tab w:val="left" w:pos="870"/>
        </w:tabs>
        <w:ind w:firstLine="640" w:firstLineChars="200"/>
        <w:rPr>
          <w:rFonts w:ascii="仿宋_GB2312" w:eastAsia="仿宋_GB2312"/>
          <w:sz w:val="32"/>
          <w:szCs w:val="32"/>
        </w:rPr>
      </w:pPr>
      <w:r>
        <w:rPr>
          <w:rFonts w:hint="eastAsia" w:ascii="仿宋_GB2312" w:eastAsia="仿宋_GB2312"/>
          <w:sz w:val="32"/>
          <w:szCs w:val="32"/>
        </w:rPr>
        <w:t>5、企业重视专利信息化建设和专利信息利用，已建立专利数据库或其他专利信息利用渠道，会查阅和分析专利文献。</w:t>
      </w:r>
    </w:p>
    <w:p>
      <w:pPr>
        <w:tabs>
          <w:tab w:val="left" w:pos="870"/>
        </w:tabs>
        <w:ind w:firstLine="640" w:firstLineChars="200"/>
        <w:rPr>
          <w:rFonts w:ascii="仿宋_GB2312" w:eastAsia="仿宋_GB2312"/>
          <w:sz w:val="32"/>
          <w:szCs w:val="32"/>
        </w:rPr>
      </w:pPr>
      <w:r>
        <w:rPr>
          <w:rFonts w:hint="eastAsia" w:ascii="仿宋_GB2312" w:eastAsia="仿宋_GB2312"/>
          <w:sz w:val="32"/>
          <w:szCs w:val="32"/>
        </w:rPr>
        <w:t>6、企业专利申请的数量和质量逐年提高，近两年专利申请量在本市同行业中领先，专利申请量的年增幅在全市平均增幅以上。积极开展专利电子申请，近两年无恶意非正常专利申请行为。</w:t>
      </w:r>
    </w:p>
    <w:p>
      <w:pPr>
        <w:tabs>
          <w:tab w:val="left" w:pos="870"/>
        </w:tabs>
        <w:ind w:firstLine="640" w:firstLineChars="200"/>
        <w:rPr>
          <w:rFonts w:ascii="仿宋_GB2312" w:eastAsia="仿宋_GB2312"/>
          <w:sz w:val="32"/>
          <w:szCs w:val="32"/>
        </w:rPr>
      </w:pPr>
      <w:r>
        <w:rPr>
          <w:rFonts w:hint="eastAsia" w:ascii="仿宋_GB2312" w:eastAsia="仿宋_GB2312"/>
          <w:sz w:val="32"/>
          <w:szCs w:val="32"/>
        </w:rPr>
        <w:t>7、企业根据自身特点，开展专利战略研究，指导企业研发和生产。</w:t>
      </w:r>
    </w:p>
    <w:p>
      <w:pPr>
        <w:tabs>
          <w:tab w:val="left" w:pos="870"/>
        </w:tabs>
        <w:ind w:firstLine="640" w:firstLineChars="200"/>
        <w:rPr>
          <w:rFonts w:ascii="仿宋_GB2312" w:eastAsia="仿宋_GB2312"/>
          <w:sz w:val="32"/>
          <w:szCs w:val="32"/>
        </w:rPr>
      </w:pPr>
      <w:r>
        <w:rPr>
          <w:rFonts w:hint="eastAsia" w:ascii="仿宋_GB2312" w:eastAsia="仿宋_GB2312"/>
          <w:sz w:val="32"/>
          <w:szCs w:val="32"/>
        </w:rPr>
        <w:t>8、企业重视专利技术产业化，专利产品销售额占企业总销售额的30%以上。</w:t>
      </w:r>
    </w:p>
    <w:p>
      <w:pPr>
        <w:tabs>
          <w:tab w:val="left" w:pos="870"/>
        </w:tabs>
        <w:ind w:firstLine="640" w:firstLineChars="200"/>
        <w:rPr>
          <w:rFonts w:ascii="仿宋_GB2312" w:eastAsia="仿宋_GB2312"/>
          <w:sz w:val="32"/>
          <w:szCs w:val="32"/>
        </w:rPr>
      </w:pPr>
      <w:r>
        <w:rPr>
          <w:rFonts w:hint="eastAsia" w:ascii="仿宋_GB2312" w:eastAsia="仿宋_GB2312"/>
          <w:sz w:val="32"/>
          <w:szCs w:val="32"/>
        </w:rPr>
        <w:t>9、企业对知识产权工作的投入（有关专利申请、维护、诉讼、信息利用、实施、培训和奖励等费用）占企业研发投入的5%以上。</w:t>
      </w:r>
    </w:p>
    <w:p>
      <w:pPr>
        <w:tabs>
          <w:tab w:val="left" w:pos="870"/>
        </w:tabs>
        <w:ind w:firstLine="640" w:firstLineChars="200"/>
        <w:rPr>
          <w:rFonts w:ascii="仿宋_GB2312" w:eastAsia="仿宋_GB2312"/>
          <w:sz w:val="32"/>
          <w:szCs w:val="32"/>
        </w:rPr>
      </w:pPr>
      <w:r>
        <w:rPr>
          <w:rFonts w:hint="eastAsia" w:ascii="仿宋_GB2312" w:eastAsia="仿宋_GB2312"/>
          <w:sz w:val="32"/>
          <w:szCs w:val="32"/>
        </w:rPr>
        <w:t>10、企业无恶意侵犯他人知识产权行为。</w:t>
      </w:r>
    </w:p>
    <w:p>
      <w:pPr>
        <w:tabs>
          <w:tab w:val="left" w:pos="870"/>
        </w:tabs>
        <w:ind w:firstLine="640" w:firstLineChars="200"/>
        <w:rPr>
          <w:rFonts w:ascii="仿宋_GB2312" w:eastAsia="仿宋_GB2312"/>
          <w:sz w:val="32"/>
          <w:szCs w:val="32"/>
        </w:rPr>
      </w:pPr>
      <w:r>
        <w:rPr>
          <w:rFonts w:hint="eastAsia" w:ascii="仿宋_GB2312" w:eastAsia="仿宋_GB2312"/>
          <w:sz w:val="32"/>
          <w:szCs w:val="32"/>
        </w:rPr>
        <w:t>第五条  申请认定的企业必须填写《河源市知识产权优势企业申请表》（纸件、电子件各一份）。县区企业报所在县区科技局初审并提出意见后，由所在县区科技局统一报市知识产权局，市直企业直接报市知识产权局。</w:t>
      </w:r>
    </w:p>
    <w:p>
      <w:pPr>
        <w:tabs>
          <w:tab w:val="left" w:pos="870"/>
        </w:tabs>
        <w:ind w:firstLine="640" w:firstLineChars="200"/>
        <w:rPr>
          <w:rFonts w:ascii="仿宋_GB2312" w:eastAsia="仿宋_GB2312"/>
          <w:sz w:val="32"/>
          <w:szCs w:val="32"/>
        </w:rPr>
      </w:pPr>
      <w:r>
        <w:rPr>
          <w:rFonts w:hint="eastAsia" w:ascii="仿宋_GB2312" w:eastAsia="仿宋_GB2312"/>
          <w:sz w:val="32"/>
          <w:szCs w:val="32"/>
        </w:rPr>
        <w:t>第六条  市知识产权局审核认定企业名单后发文，并向被认定企业颁发“河源市知识产权优势企业”牌匾。</w:t>
      </w:r>
    </w:p>
    <w:p>
      <w:pPr>
        <w:tabs>
          <w:tab w:val="left" w:pos="870"/>
        </w:tabs>
        <w:ind w:firstLine="640" w:firstLineChars="200"/>
        <w:rPr>
          <w:rFonts w:ascii="仿宋_GB2312" w:eastAsia="仿宋_GB2312"/>
          <w:sz w:val="32"/>
          <w:szCs w:val="32"/>
        </w:rPr>
      </w:pPr>
      <w:r>
        <w:rPr>
          <w:rFonts w:hint="eastAsia" w:ascii="仿宋_GB2312" w:eastAsia="仿宋_GB2312"/>
          <w:sz w:val="32"/>
          <w:szCs w:val="32"/>
        </w:rPr>
        <w:t>第七条  被认定的企业每年1月份向市知识产权局汇报上年度知识产权工作。</w:t>
      </w:r>
    </w:p>
    <w:p>
      <w:pPr>
        <w:tabs>
          <w:tab w:val="left" w:pos="870"/>
        </w:tabs>
        <w:ind w:firstLine="640" w:firstLineChars="200"/>
        <w:rPr>
          <w:rFonts w:ascii="仿宋_GB2312" w:eastAsia="仿宋_GB2312"/>
          <w:sz w:val="32"/>
          <w:szCs w:val="32"/>
        </w:rPr>
      </w:pPr>
      <w:r>
        <w:rPr>
          <w:rFonts w:hint="eastAsia" w:ascii="仿宋_GB2312" w:eastAsia="仿宋_GB2312"/>
          <w:sz w:val="32"/>
          <w:szCs w:val="32"/>
        </w:rPr>
        <w:t>第八条  对被认定的企业一次性给予一定的资助经费，专项用于企业进一步开展知识产权工作，各县区应安排地方配套资助资金。被认定的企业优先推荐申报 “广东省专利实施计划” 和“广东省知识产权优势企业”，优先推荐参加“中国专利奖”、“广东省专利奖”的评选。</w:t>
      </w:r>
    </w:p>
    <w:p>
      <w:pPr>
        <w:tabs>
          <w:tab w:val="left" w:pos="870"/>
        </w:tabs>
        <w:ind w:firstLine="640" w:firstLineChars="200"/>
        <w:rPr>
          <w:rFonts w:ascii="仿宋_GB2312" w:eastAsia="仿宋_GB2312"/>
          <w:sz w:val="32"/>
          <w:szCs w:val="32"/>
        </w:rPr>
      </w:pPr>
      <w:r>
        <w:rPr>
          <w:rFonts w:hint="eastAsia" w:ascii="仿宋_GB2312" w:eastAsia="仿宋_GB2312"/>
          <w:sz w:val="32"/>
          <w:szCs w:val="32"/>
        </w:rPr>
        <w:t>第九条  被认定的企业在专利申请、保护、宣传、培训、信息化建设及专利审核事项等方面，优先提供指导、咨询和服务。</w:t>
      </w:r>
    </w:p>
    <w:p>
      <w:pPr>
        <w:tabs>
          <w:tab w:val="left" w:pos="870"/>
        </w:tabs>
        <w:ind w:firstLine="640" w:firstLineChars="200"/>
        <w:rPr>
          <w:rFonts w:ascii="仿宋_GB2312" w:eastAsia="仿宋_GB2312"/>
          <w:sz w:val="32"/>
          <w:szCs w:val="32"/>
        </w:rPr>
      </w:pPr>
      <w:r>
        <w:rPr>
          <w:rFonts w:hint="eastAsia" w:ascii="仿宋_GB2312" w:eastAsia="仿宋_GB2312"/>
          <w:sz w:val="32"/>
          <w:szCs w:val="32"/>
        </w:rPr>
        <w:t>第十条  企业在申报材料中弄虚作假的，经调查确认后，将取消其申报资格；已被认定的，予以撤销。</w:t>
      </w:r>
    </w:p>
    <w:p>
      <w:pPr>
        <w:tabs>
          <w:tab w:val="left" w:pos="870"/>
        </w:tabs>
        <w:ind w:firstLine="640" w:firstLineChars="200"/>
        <w:rPr>
          <w:rFonts w:ascii="仿宋_GB2312" w:eastAsia="仿宋_GB2312"/>
          <w:sz w:val="32"/>
          <w:szCs w:val="32"/>
        </w:rPr>
      </w:pPr>
      <w:r>
        <w:rPr>
          <w:rFonts w:hint="eastAsia" w:ascii="仿宋_GB2312" w:eastAsia="仿宋_GB2312"/>
          <w:sz w:val="32"/>
          <w:szCs w:val="32"/>
        </w:rPr>
        <w:t>第十一条  本办法由市知识产权局负责解释，自公布之日起实施。</w:t>
      </w:r>
    </w:p>
    <w:p>
      <w:pPr>
        <w:spacing w:line="440" w:lineRule="atLeast"/>
        <w:rPr>
          <w:rFonts w:ascii="仿宋_GB2312"/>
        </w:rPr>
      </w:pPr>
    </w:p>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小标宋">
    <w:altName w:val="宋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rPr>
                    <w:rStyle w:val="6"/>
                  </w:rPr>
                </w:pPr>
                <w:r>
                  <w:rPr>
                    <w:rStyle w:val="6"/>
                    <w:rFonts w:hint="eastAsia" w:ascii="仿宋_GB2312" w:hAnsi="仿宋_GB2312" w:eastAsia="仿宋_GB2312" w:cs="仿宋_GB2312"/>
                    <w:sz w:val="32"/>
                    <w:szCs w:val="32"/>
                  </w:rPr>
                  <w:fldChar w:fldCharType="begin"/>
                </w:r>
                <w:r>
                  <w:rPr>
                    <w:rStyle w:val="6"/>
                    <w:rFonts w:hint="eastAsia" w:ascii="仿宋_GB2312" w:hAnsi="仿宋_GB2312" w:eastAsia="仿宋_GB2312" w:cs="仿宋_GB2312"/>
                    <w:sz w:val="32"/>
                    <w:szCs w:val="32"/>
                  </w:rPr>
                  <w:instrText xml:space="preserve">PAGE  </w:instrText>
                </w:r>
                <w:r>
                  <w:rPr>
                    <w:rStyle w:val="6"/>
                    <w:rFonts w:hint="eastAsia" w:ascii="仿宋_GB2312" w:hAnsi="仿宋_GB2312" w:eastAsia="仿宋_GB2312" w:cs="仿宋_GB2312"/>
                    <w:sz w:val="32"/>
                    <w:szCs w:val="32"/>
                  </w:rPr>
                  <w:fldChar w:fldCharType="separate"/>
                </w:r>
                <w:r>
                  <w:rPr>
                    <w:rStyle w:val="6"/>
                    <w:rFonts w:ascii="仿宋_GB2312" w:hAnsi="仿宋_GB2312" w:eastAsia="仿宋_GB2312" w:cs="仿宋_GB2312"/>
                    <w:sz w:val="32"/>
                    <w:szCs w:val="32"/>
                  </w:rPr>
                  <w:t>- 1 -</w:t>
                </w:r>
                <w:r>
                  <w:rPr>
                    <w:rStyle w:val="6"/>
                    <w:rFonts w:hint="eastAsia" w:ascii="仿宋_GB2312" w:hAnsi="仿宋_GB2312" w:eastAsia="仿宋_GB2312" w:cs="仿宋_GB2312"/>
                    <w:sz w:val="32"/>
                    <w:szCs w:val="32"/>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206C8"/>
    <w:rsid w:val="00046437"/>
    <w:rsid w:val="006F25C8"/>
    <w:rsid w:val="0079477F"/>
    <w:rsid w:val="008206C8"/>
    <w:rsid w:val="008D02D9"/>
    <w:rsid w:val="008E58CB"/>
    <w:rsid w:val="00AE3D81"/>
    <w:rsid w:val="00D054E3"/>
    <w:rsid w:val="0244588F"/>
    <w:rsid w:val="05D913C1"/>
    <w:rsid w:val="079C0B76"/>
    <w:rsid w:val="086B482A"/>
    <w:rsid w:val="0A0659F3"/>
    <w:rsid w:val="0A4B6358"/>
    <w:rsid w:val="0E8E4991"/>
    <w:rsid w:val="0FFB7B43"/>
    <w:rsid w:val="109D399F"/>
    <w:rsid w:val="14534007"/>
    <w:rsid w:val="175375A2"/>
    <w:rsid w:val="1B927F28"/>
    <w:rsid w:val="1FA21D3A"/>
    <w:rsid w:val="20CB14A9"/>
    <w:rsid w:val="23B81CFE"/>
    <w:rsid w:val="29D5035A"/>
    <w:rsid w:val="2A502E86"/>
    <w:rsid w:val="32F93188"/>
    <w:rsid w:val="34815A36"/>
    <w:rsid w:val="34DC3BDF"/>
    <w:rsid w:val="378E049B"/>
    <w:rsid w:val="3E176683"/>
    <w:rsid w:val="3E491ACF"/>
    <w:rsid w:val="3E973EED"/>
    <w:rsid w:val="41606EDC"/>
    <w:rsid w:val="42AA2247"/>
    <w:rsid w:val="432F1D62"/>
    <w:rsid w:val="444A4C7D"/>
    <w:rsid w:val="47750C77"/>
    <w:rsid w:val="4A0847B2"/>
    <w:rsid w:val="5350352B"/>
    <w:rsid w:val="5C775021"/>
    <w:rsid w:val="6BBC016F"/>
    <w:rsid w:val="7181186E"/>
    <w:rsid w:val="75F73400"/>
    <w:rsid w:val="790F6DED"/>
    <w:rsid w:val="7D6C317C"/>
    <w:rsid w:val="7FD63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bCs/>
    </w:rPr>
  </w:style>
  <w:style w:type="character" w:styleId="6">
    <w:name w:val="page number"/>
    <w:basedOn w:val="4"/>
    <w:qFormat/>
    <w:uiPriority w:val="0"/>
  </w:style>
  <w:style w:type="character" w:styleId="7">
    <w:name w:val="Hyperlink"/>
    <w:basedOn w:val="4"/>
    <w:qFormat/>
    <w:uiPriority w:val="0"/>
    <w:rPr>
      <w:color w:val="0000FF"/>
      <w:u w:val="single"/>
    </w:rPr>
  </w:style>
  <w:style w:type="character" w:customStyle="1" w:styleId="9">
    <w:name w:val="页眉 Char"/>
    <w:basedOn w:val="4"/>
    <w:link w:val="3"/>
    <w:qFormat/>
    <w:uiPriority w:val="0"/>
    <w:rPr>
      <w:rFonts w:ascii="Times New Roman" w:hAnsi="Times New Roman" w:eastAsia="宋体" w:cs="Times New Roman"/>
      <w:sz w:val="18"/>
      <w:szCs w:val="18"/>
    </w:rPr>
  </w:style>
  <w:style w:type="character" w:customStyle="1" w:styleId="10">
    <w:name w:val="页脚 Char"/>
    <w:basedOn w:val="4"/>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338</Words>
  <Characters>1928</Characters>
  <Lines>16</Lines>
  <Paragraphs>4</Paragraphs>
  <TotalTime>0</TotalTime>
  <ScaleCrop>false</ScaleCrop>
  <LinksUpToDate>false</LinksUpToDate>
  <CharactersWithSpaces>2262</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2016-08-09T03:08:00Z</dcterms:created>
  <dc:creator>hy</dc:creator>
  <cp:lastModifiedBy>叶江涛</cp:lastModifiedBy>
  <cp:lastPrinted>2018-10-23T08:16:00Z</cp:lastPrinted>
  <dcterms:modified xsi:type="dcterms:W3CDTF">2018-10-25T02:42:27Z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