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4：</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河源市城乡居民基本医疗保险门诊特定病种申请表</w:t>
      </w:r>
    </w:p>
    <w:p>
      <w:pPr>
        <w:rPr>
          <w:rFonts w:hint="eastAsia"/>
          <w:lang w:val="en-US" w:eastAsia="zh-CN"/>
        </w:rPr>
      </w:pP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266"/>
        <w:gridCol w:w="944"/>
        <w:gridCol w:w="1020"/>
        <w:gridCol w:w="22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92" w:type="dxa"/>
            <w:vAlign w:val="center"/>
          </w:tcPr>
          <w:p>
            <w:pPr>
              <w:jc w:val="center"/>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姓名</w:t>
            </w:r>
          </w:p>
        </w:tc>
        <w:tc>
          <w:tcPr>
            <w:tcW w:w="2266" w:type="dxa"/>
            <w:vAlign w:val="center"/>
          </w:tcPr>
          <w:p>
            <w:pPr>
              <w:jc w:val="center"/>
              <w:rPr>
                <w:rFonts w:hint="eastAsia" w:ascii="方正仿宋简体" w:hAnsi="方正仿宋简体" w:eastAsia="方正仿宋简体" w:cs="方正仿宋简体"/>
                <w:sz w:val="28"/>
                <w:szCs w:val="28"/>
                <w:vertAlign w:val="baseline"/>
                <w:lang w:val="en-US" w:eastAsia="zh-CN"/>
              </w:rPr>
            </w:pPr>
          </w:p>
        </w:tc>
        <w:tc>
          <w:tcPr>
            <w:tcW w:w="944" w:type="dxa"/>
            <w:vAlign w:val="center"/>
          </w:tcPr>
          <w:p>
            <w:pPr>
              <w:jc w:val="center"/>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性别</w:t>
            </w:r>
          </w:p>
        </w:tc>
        <w:tc>
          <w:tcPr>
            <w:tcW w:w="1020" w:type="dxa"/>
            <w:vAlign w:val="center"/>
          </w:tcPr>
          <w:p>
            <w:pPr>
              <w:jc w:val="center"/>
              <w:rPr>
                <w:rFonts w:hint="eastAsia" w:ascii="方正仿宋简体" w:hAnsi="方正仿宋简体" w:eastAsia="方正仿宋简体" w:cs="方正仿宋简体"/>
                <w:sz w:val="28"/>
                <w:szCs w:val="28"/>
                <w:vertAlign w:val="baseline"/>
                <w:lang w:val="en-US" w:eastAsia="zh-CN"/>
              </w:rPr>
            </w:pPr>
          </w:p>
        </w:tc>
        <w:tc>
          <w:tcPr>
            <w:tcW w:w="220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身份证号码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（社会保障卡号）</w:t>
            </w:r>
          </w:p>
        </w:tc>
        <w:tc>
          <w:tcPr>
            <w:tcW w:w="1947" w:type="dxa"/>
          </w:tcPr>
          <w:p>
            <w:pPr>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家庭住址</w:t>
            </w:r>
          </w:p>
        </w:tc>
        <w:tc>
          <w:tcPr>
            <w:tcW w:w="423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联系电话</w:t>
            </w:r>
          </w:p>
        </w:tc>
        <w:tc>
          <w:tcPr>
            <w:tcW w:w="194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申请病种</w:t>
            </w:r>
          </w:p>
        </w:tc>
        <w:tc>
          <w:tcPr>
            <w:tcW w:w="423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同</w:t>
            </w:r>
            <w:r>
              <w:rPr>
                <w:rFonts w:hint="eastAsia" w:ascii="方正仿宋简体" w:hAnsi="方正仿宋简体" w:eastAsia="方正仿宋简体" w:cs="方正仿宋简体"/>
                <w:spacing w:val="-20"/>
                <w:sz w:val="28"/>
                <w:szCs w:val="28"/>
                <w:vertAlign w:val="baseline"/>
                <w:lang w:val="en-US" w:eastAsia="zh-CN"/>
              </w:rPr>
              <w:t>时符合条件的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其他病种</w:t>
            </w:r>
          </w:p>
        </w:tc>
        <w:tc>
          <w:tcPr>
            <w:tcW w:w="1947" w:type="dxa"/>
          </w:tcPr>
          <w:p>
            <w:pPr>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trPr>
        <w:tc>
          <w:tcPr>
            <w:tcW w:w="7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34"/>
                <w:sz w:val="28"/>
                <w:szCs w:val="28"/>
                <w:vertAlign w:val="baseline"/>
                <w:lang w:val="en-US" w:eastAsia="zh-CN"/>
              </w:rPr>
            </w:pPr>
            <w:r>
              <w:rPr>
                <w:rFonts w:hint="eastAsia" w:ascii="方正仿宋简体" w:hAnsi="方正仿宋简体" w:eastAsia="方正仿宋简体" w:cs="方正仿宋简体"/>
                <w:spacing w:val="-34"/>
                <w:sz w:val="28"/>
                <w:szCs w:val="28"/>
                <w:vertAlign w:val="baseline"/>
                <w:lang w:val="en-US" w:eastAsia="zh-CN"/>
              </w:rPr>
              <w:t>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34"/>
                <w:sz w:val="28"/>
                <w:szCs w:val="28"/>
                <w:vertAlign w:val="baseline"/>
                <w:lang w:val="en-US" w:eastAsia="zh-CN"/>
              </w:rPr>
            </w:pPr>
            <w:r>
              <w:rPr>
                <w:rFonts w:hint="eastAsia" w:ascii="方正仿宋简体" w:hAnsi="方正仿宋简体" w:eastAsia="方正仿宋简体" w:cs="方正仿宋简体"/>
                <w:spacing w:val="-34"/>
                <w:sz w:val="28"/>
                <w:szCs w:val="28"/>
                <w:vertAlign w:val="baseline"/>
                <w:lang w:val="en-US" w:eastAsia="zh-CN"/>
              </w:rPr>
              <w:t>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34"/>
                <w:sz w:val="28"/>
                <w:szCs w:val="28"/>
                <w:vertAlign w:val="baseline"/>
                <w:lang w:val="en-US" w:eastAsia="zh-CN"/>
              </w:rPr>
            </w:pPr>
            <w:r>
              <w:rPr>
                <w:rFonts w:hint="eastAsia" w:ascii="方正仿宋简体" w:hAnsi="方正仿宋简体" w:eastAsia="方正仿宋简体" w:cs="方正仿宋简体"/>
                <w:spacing w:val="-34"/>
                <w:sz w:val="28"/>
                <w:szCs w:val="28"/>
                <w:vertAlign w:val="baseline"/>
                <w:lang w:val="en-US" w:eastAsia="zh-CN"/>
              </w:rPr>
              <w:t>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pacing w:val="-34"/>
                <w:sz w:val="28"/>
                <w:szCs w:val="28"/>
                <w:vertAlign w:val="baseline"/>
                <w:lang w:val="en-US" w:eastAsia="zh-CN"/>
              </w:rPr>
              <w:t>要</w:t>
            </w:r>
          </w:p>
        </w:tc>
        <w:tc>
          <w:tcPr>
            <w:tcW w:w="8382" w:type="dxa"/>
            <w:gridSpan w:val="5"/>
          </w:tcPr>
          <w:p>
            <w:pPr>
              <w:rPr>
                <w:rFonts w:hint="eastAsia" w:ascii="方正仿宋简体" w:hAnsi="方正仿宋简体" w:eastAsia="方正仿宋简体" w:cs="方正仿宋简体"/>
                <w:sz w:val="28"/>
                <w:szCs w:val="28"/>
                <w:vertAlign w:val="baseline"/>
                <w:lang w:val="en-US" w:eastAsia="zh-CN"/>
              </w:rPr>
            </w:pPr>
          </w:p>
          <w:p>
            <w:pPr>
              <w:rPr>
                <w:rFonts w:hint="eastAsia" w:ascii="方正仿宋简体" w:hAnsi="方正仿宋简体" w:eastAsia="方正仿宋简体" w:cs="方正仿宋简体"/>
                <w:sz w:val="28"/>
                <w:szCs w:val="28"/>
                <w:vertAlign w:val="baseline"/>
                <w:lang w:val="en-US" w:eastAsia="zh-CN"/>
              </w:rPr>
            </w:pPr>
          </w:p>
          <w:p>
            <w:pPr>
              <w:rPr>
                <w:rFonts w:hint="eastAsia" w:ascii="方正仿宋简体" w:hAnsi="方正仿宋简体" w:eastAsia="方正仿宋简体" w:cs="方正仿宋简体"/>
                <w:sz w:val="28"/>
                <w:szCs w:val="28"/>
                <w:vertAlign w:val="baseline"/>
                <w:lang w:val="en-US" w:eastAsia="zh-CN"/>
              </w:rPr>
            </w:pPr>
          </w:p>
          <w:p>
            <w:pPr>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科室：                    医师签名：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7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见</w:t>
            </w:r>
          </w:p>
        </w:tc>
        <w:tc>
          <w:tcPr>
            <w:tcW w:w="8382" w:type="dxa"/>
            <w:gridSpan w:val="5"/>
          </w:tcPr>
          <w:p>
            <w:pPr>
              <w:rPr>
                <w:rFonts w:hint="eastAsia" w:ascii="方正仿宋简体" w:hAnsi="方正仿宋简体" w:eastAsia="方正仿宋简体" w:cs="方正仿宋简体"/>
                <w:sz w:val="28"/>
                <w:szCs w:val="28"/>
                <w:vertAlign w:val="baseline"/>
                <w:lang w:val="en-US" w:eastAsia="zh-CN"/>
              </w:rPr>
            </w:pPr>
          </w:p>
          <w:p>
            <w:pPr>
              <w:rPr>
                <w:rFonts w:hint="eastAsia" w:ascii="方正仿宋简体" w:hAnsi="方正仿宋简体" w:eastAsia="方正仿宋简体" w:cs="方正仿宋简体"/>
                <w:sz w:val="28"/>
                <w:szCs w:val="28"/>
                <w:vertAlign w:val="baseline"/>
                <w:lang w:val="en-US" w:eastAsia="zh-CN"/>
              </w:rPr>
            </w:pPr>
          </w:p>
          <w:p>
            <w:pPr>
              <w:rPr>
                <w:rFonts w:hint="eastAsia" w:ascii="方正仿宋简体" w:hAnsi="方正仿宋简体" w:eastAsia="方正仿宋简体" w:cs="方正仿宋简体"/>
                <w:sz w:val="28"/>
                <w:szCs w:val="28"/>
                <w:vertAlign w:val="baseline"/>
                <w:lang w:val="en-US" w:eastAsia="zh-CN"/>
              </w:rPr>
            </w:pPr>
          </w:p>
          <w:p>
            <w:pPr>
              <w:ind w:firstLine="3640" w:firstLineChars="1300"/>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7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20"/>
                <w:sz w:val="28"/>
                <w:szCs w:val="28"/>
                <w:vertAlign w:val="baseline"/>
                <w:lang w:val="en-US" w:eastAsia="zh-CN"/>
              </w:rPr>
            </w:pPr>
            <w:r>
              <w:rPr>
                <w:rFonts w:hint="eastAsia" w:ascii="方正仿宋简体" w:hAnsi="方正仿宋简体" w:eastAsia="方正仿宋简体" w:cs="方正仿宋简体"/>
                <w:spacing w:val="-20"/>
                <w:sz w:val="28"/>
                <w:szCs w:val="28"/>
                <w:vertAlign w:val="baseline"/>
                <w:lang w:val="en-US" w:eastAsia="zh-CN"/>
              </w:rPr>
              <w:t>见</w:t>
            </w:r>
          </w:p>
        </w:tc>
        <w:tc>
          <w:tcPr>
            <w:tcW w:w="8382"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ind w:left="1119" w:leftChars="266" w:right="0" w:rightChars="0" w:hanging="560" w:hangingChars="20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经审核，符合</w:t>
            </w:r>
            <w:r>
              <w:rPr>
                <w:rFonts w:hint="eastAsia" w:ascii="方正仿宋简体" w:hAnsi="方正仿宋简体" w:eastAsia="方正仿宋简体" w:cs="方正仿宋简体"/>
                <w:sz w:val="28"/>
                <w:szCs w:val="28"/>
                <w:u w:val="single"/>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特定病种条件，年度限额为：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u w:val="single"/>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元（大写：</w:t>
            </w:r>
            <w:r>
              <w:rPr>
                <w:rFonts w:hint="eastAsia" w:ascii="方正仿宋简体" w:hAnsi="方正仿宋简体" w:eastAsia="方正仿宋简体" w:cs="方正仿宋简体"/>
                <w:sz w:val="28"/>
                <w:szCs w:val="28"/>
                <w:u w:val="single"/>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万</w:t>
            </w:r>
            <w:r>
              <w:rPr>
                <w:rFonts w:hint="eastAsia" w:ascii="方正仿宋简体" w:hAnsi="方正仿宋简体" w:eastAsia="方正仿宋简体" w:cs="方正仿宋简体"/>
                <w:sz w:val="28"/>
                <w:szCs w:val="28"/>
                <w:u w:val="single"/>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千</w:t>
            </w:r>
            <w:r>
              <w:rPr>
                <w:rFonts w:hint="eastAsia" w:ascii="方正仿宋简体" w:hAnsi="方正仿宋简体" w:eastAsia="方正仿宋简体" w:cs="方正仿宋简体"/>
                <w:sz w:val="28"/>
                <w:szCs w:val="28"/>
                <w:u w:val="single"/>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佰</w:t>
            </w:r>
            <w:r>
              <w:rPr>
                <w:rFonts w:hint="eastAsia" w:ascii="方正仿宋简体" w:hAnsi="方正仿宋简体" w:eastAsia="方正仿宋简体" w:cs="方正仿宋简体"/>
                <w:sz w:val="28"/>
                <w:szCs w:val="28"/>
                <w:u w:val="single"/>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拾</w:t>
            </w:r>
            <w:r>
              <w:rPr>
                <w:rFonts w:hint="eastAsia" w:ascii="方正仿宋简体" w:hAnsi="方正仿宋简体" w:eastAsia="方正仿宋简体" w:cs="方正仿宋简体"/>
                <w:sz w:val="28"/>
                <w:szCs w:val="28"/>
                <w:u w:val="single"/>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经办：             审核：           审批：         （盖章）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 xml:space="preserve">                                               年  月  日</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1120" w:leftChars="0" w:right="0" w:rightChars="0" w:hanging="1120" w:hangingChars="400"/>
        <w:jc w:val="both"/>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说明：1. 申请时需提供二级以上医保定点医疗机构的疾病诊断书和相关的检查检验报告单。</w:t>
      </w:r>
    </w:p>
    <w:p>
      <w:pPr>
        <w:keepNext w:val="0"/>
        <w:keepLines w:val="0"/>
        <w:pageBreakBefore w:val="0"/>
        <w:widowControl w:val="0"/>
        <w:kinsoku/>
        <w:wordWrap/>
        <w:overflowPunct/>
        <w:topLinePunct w:val="0"/>
        <w:autoSpaceDE/>
        <w:autoSpaceDN/>
        <w:bidi w:val="0"/>
        <w:adjustRightInd/>
        <w:snapToGrid/>
        <w:spacing w:line="460" w:lineRule="exact"/>
        <w:ind w:left="1120" w:leftChars="0" w:right="0" w:rightChars="0" w:hanging="1120" w:hangingChars="400"/>
        <w:jc w:val="both"/>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2. 病情摘要和医务科意见由二级以上定点医院填写，并由诊断医院的2名副主任医师职称以上医师在病情摘要栏上同时签名，医务科加盖公章。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3. 在年度限额内，按基本医疗保险和特殊病种有关规定报销。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34"/>
          <w:szCs w:val="34"/>
          <w:lang w:val="en-US" w:eastAsia="zh-CN"/>
        </w:rPr>
      </w:pPr>
      <w:r>
        <w:rPr>
          <w:rFonts w:hint="eastAsia" w:ascii="方正小标宋简体" w:hAnsi="方正小标宋简体" w:eastAsia="方正小标宋简体" w:cs="方正小标宋简体"/>
          <w:spacing w:val="-20"/>
          <w:sz w:val="34"/>
          <w:szCs w:val="34"/>
          <w:lang w:val="en-US" w:eastAsia="zh-CN"/>
        </w:rPr>
        <w:t>河源市城乡居民基本医疗保险门诊特定病种目录及年度限额标准</w:t>
      </w:r>
    </w:p>
    <w:tbl>
      <w:tblPr>
        <w:tblStyle w:val="4"/>
        <w:tblW w:w="8978" w:type="dxa"/>
        <w:jc w:val="center"/>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6"/>
        <w:gridCol w:w="525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序号</w:t>
            </w:r>
          </w:p>
        </w:tc>
        <w:tc>
          <w:tcPr>
            <w:tcW w:w="6694" w:type="dxa"/>
            <w:gridSpan w:val="2"/>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病种</w:t>
            </w:r>
          </w:p>
        </w:tc>
        <w:tc>
          <w:tcPr>
            <w:tcW w:w="1564" w:type="dxa"/>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支付限额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w:t>
            </w:r>
          </w:p>
        </w:tc>
        <w:tc>
          <w:tcPr>
            <w:tcW w:w="143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恶性</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肿瘤</w:t>
            </w: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乳腺癌内分泌治疗</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sz w:val="24"/>
                <w:szCs w:val="24"/>
              </w:rPr>
            </w:pPr>
          </w:p>
        </w:tc>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sz w:val="24"/>
                <w:szCs w:val="24"/>
              </w:rPr>
            </w:pP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放、化疗治疗</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白血病、胃肠间质瘤</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70000元/年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慢性肾功能衰竭（尿毒症透析治疗）</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3</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珠蛋白生成障碍（地贫或海洋性贫血）</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36000元/年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4</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血友病</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50000元/年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5</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慢性病毒性丙型肝炎（活动期）</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30000元/年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6</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肾脏、心脏、肝脏移植术及骨髓移植术后（抗排异反应治疗）</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25万</w:t>
            </w:r>
            <w:bookmarkStart w:id="0" w:name="_GoBack"/>
            <w:bookmarkEnd w:id="0"/>
            <w:r>
              <w:rPr>
                <w:rFonts w:hint="eastAsia" w:ascii="方正仿宋简体" w:hAnsi="方正仿宋简体" w:eastAsia="方正仿宋简体" w:cs="方正仿宋简体"/>
                <w:sz w:val="24"/>
                <w:szCs w:val="24"/>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7</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高血压病（Ⅱ期及以上）</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8</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再生障碍性贫血</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4000元/年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9</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精神障碍性病症</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4000元/年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10</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艾滋病</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4000元/年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11</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恶性肿瘤（非放、化疗治疗）</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6000元/年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慢性肾功能衰竭（尿毒症非透析治疗）</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3600元/年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13</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冠心病</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14</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慢性心功能不全Ⅱ级以上</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15</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肝硬化（失代偿期）</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16</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慢性病毒性乙型肝炎（活动期）</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17</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中度及中度以上慢性阻塞性肺疾病</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18</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重症糖尿病</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19</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中风后遗症</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20</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帕金森病</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21</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系统红斑狼疮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22</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类风湿性关节炎</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23</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肺结核（活动期）</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24</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脑血管疾病（脑出血、蛛网膜下腔出血、脑血栓形成、脑栓塞）</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25</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脑障碍性病变后遗症</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26</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癫痫</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27</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白内障（手术）</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28</w:t>
            </w:r>
          </w:p>
        </w:tc>
        <w:tc>
          <w:tcPr>
            <w:tcW w:w="669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泌尿系统结石（体外碎石治疗）</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1000元/次</w:t>
            </w:r>
          </w:p>
        </w:tc>
      </w:tr>
    </w:tbl>
    <w:p>
      <w:pPr>
        <w:keepNext w:val="0"/>
        <w:keepLines w:val="0"/>
        <w:pageBreakBefore w:val="0"/>
        <w:widowControl w:val="0"/>
        <w:kinsoku/>
        <w:wordWrap/>
        <w:overflowPunct/>
        <w:topLinePunct w:val="0"/>
        <w:autoSpaceDE/>
        <w:autoSpaceDN/>
        <w:bidi w:val="0"/>
        <w:adjustRightInd/>
        <w:snapToGrid/>
        <w:spacing w:line="300" w:lineRule="exact"/>
        <w:ind w:left="720" w:leftChars="0" w:right="0" w:rightChars="0" w:hanging="720" w:hangingChars="3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备注：白血病、胃肠间质瘤患者，前3个月费用由医疗保险基金按规定支付，后9个月由上海诺华贸易有限公司援助（粤人社函〔2015〕1361号）</w:t>
      </w:r>
    </w:p>
    <w:sectPr>
      <w:pgSz w:w="11906" w:h="16838"/>
      <w:pgMar w:top="820" w:right="1474" w:bottom="58"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B169D"/>
    <w:rsid w:val="0C396C05"/>
    <w:rsid w:val="135829D0"/>
    <w:rsid w:val="1E560CDC"/>
    <w:rsid w:val="2AF52732"/>
    <w:rsid w:val="37694B00"/>
    <w:rsid w:val="43D95ADD"/>
    <w:rsid w:val="456D4752"/>
    <w:rsid w:val="46B475A8"/>
    <w:rsid w:val="4C58157B"/>
    <w:rsid w:val="4C6019C6"/>
    <w:rsid w:val="4FBE3E6C"/>
    <w:rsid w:val="525F0AA2"/>
    <w:rsid w:val="6D2D08C7"/>
    <w:rsid w:val="7A3B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2018-11-19T09:41:00Z</dcterms:created>
  <dc:creator>bgs6</dc:creator>
  <cp:lastModifiedBy>bgs6</cp:lastModifiedBy>
  <dcterms:modified xsi:type="dcterms:W3CDTF">2019-01-10T02:55:42Z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