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E" w:rsidRDefault="008E337E" w:rsidP="008E337E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附表2</w:t>
      </w:r>
    </w:p>
    <w:p w:rsidR="008E337E" w:rsidRDefault="008E337E" w:rsidP="008E337E">
      <w:pPr>
        <w:spacing w:line="240" w:lineRule="exact"/>
        <w:rPr>
          <w:rFonts w:ascii="黑体" w:eastAsia="黑体" w:hAnsi="黑体" w:hint="eastAsia"/>
          <w:sz w:val="28"/>
        </w:rPr>
      </w:pPr>
    </w:p>
    <w:p w:rsidR="008E337E" w:rsidRDefault="008E337E" w:rsidP="008E337E">
      <w:pPr>
        <w:jc w:val="center"/>
        <w:rPr>
          <w:rFonts w:ascii="创艺简标宋" w:eastAsia="创艺简标宋" w:hAnsi="仿宋" w:hint="eastAsia"/>
          <w:bCs/>
          <w:sz w:val="36"/>
        </w:rPr>
      </w:pPr>
      <w:r>
        <w:rPr>
          <w:rFonts w:ascii="创艺简标宋" w:eastAsia="创艺简标宋" w:hAnsi="仿宋" w:hint="eastAsia"/>
          <w:bCs/>
          <w:sz w:val="44"/>
          <w:szCs w:val="44"/>
        </w:rPr>
        <w:t>河源市市区征地果树竹木补偿标准</w:t>
      </w:r>
    </w:p>
    <w:p w:rsidR="008E337E" w:rsidRDefault="008E337E" w:rsidP="008E337E">
      <w:pPr>
        <w:spacing w:line="320" w:lineRule="exact"/>
        <w:jc w:val="center"/>
        <w:rPr>
          <w:rFonts w:ascii="仿宋_GB2312" w:hAnsi="仿宋" w:hint="eastAsia"/>
          <w:bCs/>
          <w:sz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288"/>
        <w:gridCol w:w="2659"/>
        <w:gridCol w:w="1449"/>
        <w:gridCol w:w="1370"/>
        <w:gridCol w:w="1790"/>
      </w:tblGrid>
      <w:tr w:rsidR="008E337E" w:rsidTr="00D22447">
        <w:trPr>
          <w:cantSplit/>
        </w:trPr>
        <w:tc>
          <w:tcPr>
            <w:tcW w:w="464" w:type="dxa"/>
            <w:vMerge w:val="restart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88" w:type="dxa"/>
            <w:vMerge w:val="restart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果木种类</w:t>
            </w:r>
          </w:p>
        </w:tc>
        <w:tc>
          <w:tcPr>
            <w:tcW w:w="4108" w:type="dxa"/>
            <w:gridSpan w:val="2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零星（单株）</w:t>
            </w:r>
          </w:p>
        </w:tc>
        <w:tc>
          <w:tcPr>
            <w:tcW w:w="3160" w:type="dxa"/>
            <w:gridSpan w:val="2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成片（亩）</w:t>
            </w:r>
          </w:p>
        </w:tc>
      </w:tr>
      <w:tr w:rsidR="008E337E" w:rsidTr="00D22447">
        <w:trPr>
          <w:cantSplit/>
        </w:trPr>
        <w:tc>
          <w:tcPr>
            <w:tcW w:w="464" w:type="dxa"/>
            <w:vMerge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288" w:type="dxa"/>
            <w:vMerge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规格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（投影面积M</w:t>
            </w:r>
            <w:r>
              <w:rPr>
                <w:rFonts w:ascii="黑体" w:eastAsia="黑体" w:hAnsi="黑体" w:hint="eastAsia"/>
                <w:sz w:val="24"/>
                <w:vertAlign w:val="superscript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/株）</w:t>
            </w:r>
          </w:p>
        </w:tc>
        <w:tc>
          <w:tcPr>
            <w:tcW w:w="144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单价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（元/株）</w:t>
            </w:r>
          </w:p>
        </w:tc>
        <w:tc>
          <w:tcPr>
            <w:tcW w:w="137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规格（数量株/亩）</w:t>
            </w:r>
          </w:p>
        </w:tc>
        <w:tc>
          <w:tcPr>
            <w:tcW w:w="179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单价（元/亩）</w:t>
            </w:r>
          </w:p>
        </w:tc>
      </w:tr>
      <w:tr w:rsidR="008E337E" w:rsidTr="00D22447">
        <w:trPr>
          <w:trHeight w:val="2611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荔枝、龙眼</w:t>
            </w:r>
          </w:p>
        </w:tc>
        <w:tc>
          <w:tcPr>
            <w:tcW w:w="265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  <w:vertAlign w:val="superscript"/>
              </w:rPr>
            </w:pPr>
            <w:r>
              <w:rPr>
                <w:rFonts w:ascii="仿宋_GB2312" w:hAnsi="仿宋" w:hint="eastAsia"/>
                <w:sz w:val="24"/>
              </w:rPr>
              <w:t>（1）19m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—22m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  <w:vertAlign w:val="superscript"/>
              </w:rPr>
            </w:pPr>
            <w:r>
              <w:rPr>
                <w:rFonts w:ascii="仿宋_GB2312" w:hAnsi="仿宋" w:hint="eastAsia"/>
                <w:sz w:val="24"/>
              </w:rPr>
              <w:t>（2）16m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—19m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（3）13m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—16m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（4）10m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—13m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（5）7—10m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（6）4—7m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（7）1—4m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（8）1m</w:t>
            </w:r>
            <w:r>
              <w:rPr>
                <w:rFonts w:ascii="仿宋_GB2312" w:hAnsi="仿宋" w:hint="eastAsia"/>
                <w:sz w:val="24"/>
                <w:vertAlign w:val="super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以下</w:t>
            </w:r>
          </w:p>
        </w:tc>
        <w:tc>
          <w:tcPr>
            <w:tcW w:w="144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1300—1500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1100—1300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900—1100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700—900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500—700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300—500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100—300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20—100</w:t>
            </w:r>
          </w:p>
        </w:tc>
        <w:tc>
          <w:tcPr>
            <w:tcW w:w="137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31—27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36—31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44—36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50—44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50以上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50以上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50以上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50以上</w:t>
            </w:r>
          </w:p>
        </w:tc>
        <w:tc>
          <w:tcPr>
            <w:tcW w:w="179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40000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40000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40000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35000—40000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25000—35000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15000—25000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5000—15000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1000—5000</w:t>
            </w:r>
          </w:p>
        </w:tc>
      </w:tr>
      <w:tr w:rsidR="008E337E" w:rsidTr="00D22447">
        <w:trPr>
          <w:trHeight w:val="1385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栗树、芒果、黄皮、沙梨、柚子、柿子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橄榄</w:t>
            </w:r>
          </w:p>
        </w:tc>
        <w:tc>
          <w:tcPr>
            <w:tcW w:w="265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大（主干直径25—35cm）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中（主干直径15—25cm）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小（主干直径5—15cm）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幼（5cm以下，未挂果）</w:t>
            </w:r>
          </w:p>
        </w:tc>
        <w:tc>
          <w:tcPr>
            <w:tcW w:w="144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450—650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250—450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50—250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10—50</w:t>
            </w:r>
          </w:p>
        </w:tc>
        <w:tc>
          <w:tcPr>
            <w:tcW w:w="137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50—35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60—50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60以上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60以上</w:t>
            </w:r>
          </w:p>
        </w:tc>
        <w:tc>
          <w:tcPr>
            <w:tcW w:w="179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22500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15000—22500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3000—15000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600—3000</w:t>
            </w:r>
          </w:p>
        </w:tc>
      </w:tr>
      <w:tr w:rsidR="008E337E" w:rsidTr="00D22447">
        <w:trPr>
          <w:trHeight w:val="1403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柑、桔、橙、人参果、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青枣、桃、李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梅、枇杷、杨桃、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等其他杂果</w:t>
            </w:r>
          </w:p>
        </w:tc>
        <w:tc>
          <w:tcPr>
            <w:tcW w:w="265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大（树高2.0—2.5m）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中（树高1.5—2.0m）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小（树高1—1.5m）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幼（1cm以下，未挂果）</w:t>
            </w:r>
          </w:p>
        </w:tc>
        <w:tc>
          <w:tcPr>
            <w:tcW w:w="1449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170—245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95—170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20—95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5—20</w:t>
            </w:r>
          </w:p>
        </w:tc>
        <w:tc>
          <w:tcPr>
            <w:tcW w:w="137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76—53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80—76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80以上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80以上</w:t>
            </w:r>
          </w:p>
        </w:tc>
        <w:tc>
          <w:tcPr>
            <w:tcW w:w="1790" w:type="dxa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13000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7600—13000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1600—7600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400—1600</w:t>
            </w:r>
          </w:p>
        </w:tc>
      </w:tr>
      <w:tr w:rsidR="008E337E" w:rsidTr="00D22447">
        <w:trPr>
          <w:trHeight w:val="1393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杉、松、桉、杂树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（征地补偿中综合计算）</w:t>
            </w:r>
          </w:p>
        </w:tc>
        <w:tc>
          <w:tcPr>
            <w:tcW w:w="2659" w:type="dxa"/>
            <w:vAlign w:val="center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大（树高8米以上）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中（树高5—8米）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小（树高2—5米）</w:t>
            </w:r>
          </w:p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幼（树高2米以上）</w:t>
            </w:r>
          </w:p>
        </w:tc>
        <w:tc>
          <w:tcPr>
            <w:tcW w:w="144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10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80以上</w:t>
            </w:r>
          </w:p>
        </w:tc>
        <w:tc>
          <w:tcPr>
            <w:tcW w:w="179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640</w:t>
            </w:r>
          </w:p>
        </w:tc>
      </w:tr>
      <w:tr w:rsidR="008E337E" w:rsidTr="00D22447">
        <w:trPr>
          <w:trHeight w:val="760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菠萝</w:t>
            </w:r>
          </w:p>
        </w:tc>
        <w:tc>
          <w:tcPr>
            <w:tcW w:w="265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小</w:t>
            </w:r>
          </w:p>
        </w:tc>
        <w:tc>
          <w:tcPr>
            <w:tcW w:w="144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0.5</w:t>
            </w:r>
          </w:p>
        </w:tc>
        <w:tc>
          <w:tcPr>
            <w:tcW w:w="137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3000以上</w:t>
            </w:r>
          </w:p>
        </w:tc>
        <w:tc>
          <w:tcPr>
            <w:tcW w:w="1790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2000</w:t>
            </w:r>
          </w:p>
        </w:tc>
      </w:tr>
      <w:tr w:rsidR="008E337E" w:rsidTr="00D22447">
        <w:trPr>
          <w:cantSplit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大蕉、香蕉、粉蕉、</w:t>
            </w:r>
          </w:p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木瓜</w:t>
            </w:r>
          </w:p>
        </w:tc>
        <w:tc>
          <w:tcPr>
            <w:tcW w:w="265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统</w:t>
            </w:r>
          </w:p>
        </w:tc>
        <w:tc>
          <w:tcPr>
            <w:tcW w:w="1449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</w:t>
            </w:r>
          </w:p>
        </w:tc>
        <w:tc>
          <w:tcPr>
            <w:tcW w:w="3160" w:type="dxa"/>
            <w:gridSpan w:val="2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按实清点，1米以下不计补偿。</w:t>
            </w:r>
          </w:p>
        </w:tc>
      </w:tr>
      <w:tr w:rsidR="008E337E" w:rsidTr="00D22447">
        <w:trPr>
          <w:cantSplit/>
          <w:trHeight w:val="645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竹  类</w:t>
            </w:r>
          </w:p>
        </w:tc>
        <w:tc>
          <w:tcPr>
            <w:tcW w:w="7268" w:type="dxa"/>
            <w:gridSpan w:val="4"/>
            <w:vAlign w:val="center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成竹，按实清点；麻竹、毛竹2元/条；黄竹、坭竹、丹竹1元/条。</w:t>
            </w:r>
          </w:p>
        </w:tc>
      </w:tr>
      <w:tr w:rsidR="008E337E" w:rsidTr="00D22447">
        <w:trPr>
          <w:cantSplit/>
          <w:trHeight w:val="645"/>
        </w:trPr>
        <w:tc>
          <w:tcPr>
            <w:tcW w:w="464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8E337E" w:rsidRDefault="008E337E" w:rsidP="00D22447">
            <w:pPr>
              <w:spacing w:line="32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食茶、油茶</w:t>
            </w:r>
          </w:p>
        </w:tc>
        <w:tc>
          <w:tcPr>
            <w:tcW w:w="7268" w:type="dxa"/>
            <w:gridSpan w:val="4"/>
            <w:vAlign w:val="center"/>
          </w:tcPr>
          <w:p w:rsidR="008E337E" w:rsidRDefault="008E337E" w:rsidP="00D22447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大5元、中3元、小1元、幼0.5元。</w:t>
            </w:r>
          </w:p>
        </w:tc>
      </w:tr>
    </w:tbl>
    <w:p w:rsidR="00313268" w:rsidRPr="008E337E" w:rsidRDefault="00313268"/>
    <w:sectPr w:rsidR="00313268" w:rsidRPr="008E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68" w:rsidRDefault="00313268" w:rsidP="008E337E">
      <w:r>
        <w:separator/>
      </w:r>
    </w:p>
  </w:endnote>
  <w:endnote w:type="continuationSeparator" w:id="1">
    <w:p w:rsidR="00313268" w:rsidRDefault="00313268" w:rsidP="008E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68" w:rsidRDefault="00313268" w:rsidP="008E337E">
      <w:r>
        <w:separator/>
      </w:r>
    </w:p>
  </w:footnote>
  <w:footnote w:type="continuationSeparator" w:id="1">
    <w:p w:rsidR="00313268" w:rsidRDefault="00313268" w:rsidP="008E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37E"/>
    <w:rsid w:val="00313268"/>
    <w:rsid w:val="008E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2018-12-17T10:06:00Z</dcterms:created>
  <dcterms:modified xsi:type="dcterms:W3CDTF">2018-12-17T10:07:00Z</dcterms:modified>
</cp:coreProperties>
</file>