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7AC" w:rsidRDefault="006927AC" w:rsidP="006927AC">
      <w:pPr>
        <w:spacing w:line="500" w:lineRule="exact"/>
        <w:rPr>
          <w:rFonts w:ascii="黑体" w:eastAsia="黑体" w:hAnsi="黑体" w:cs="黑体" w:hint="eastAsia"/>
        </w:rPr>
      </w:pPr>
      <w:r>
        <w:rPr>
          <w:rFonts w:ascii="黑体" w:eastAsia="黑体" w:hAnsi="黑体" w:cs="黑体" w:hint="eastAsia"/>
        </w:rPr>
        <w:t>附 件</w:t>
      </w:r>
    </w:p>
    <w:p w:rsidR="006927AC" w:rsidRDefault="006927AC" w:rsidP="006927AC">
      <w:pPr>
        <w:spacing w:line="500" w:lineRule="exact"/>
        <w:rPr>
          <w:rFonts w:hint="eastAsia"/>
        </w:rPr>
      </w:pPr>
    </w:p>
    <w:p w:rsidR="006927AC" w:rsidRDefault="006927AC" w:rsidP="006927AC">
      <w:pPr>
        <w:spacing w:line="500" w:lineRule="exact"/>
        <w:jc w:val="center"/>
        <w:rPr>
          <w:rFonts w:ascii="创艺简标宋" w:eastAsia="创艺简标宋" w:hAnsi="创艺简标宋" w:cs="创艺简标宋" w:hint="eastAsia"/>
          <w:sz w:val="44"/>
          <w:szCs w:val="44"/>
        </w:rPr>
      </w:pPr>
      <w:r>
        <w:rPr>
          <w:rFonts w:ascii="创艺简标宋" w:eastAsia="创艺简标宋" w:hAnsi="创艺简标宋" w:cs="创艺简标宋" w:hint="eastAsia"/>
          <w:sz w:val="44"/>
          <w:szCs w:val="44"/>
        </w:rPr>
        <w:t>第四批清理规范的市政府部门行政审批</w:t>
      </w:r>
    </w:p>
    <w:p w:rsidR="006927AC" w:rsidRDefault="006927AC" w:rsidP="006927AC">
      <w:pPr>
        <w:spacing w:line="500" w:lineRule="exact"/>
        <w:jc w:val="center"/>
        <w:rPr>
          <w:rFonts w:ascii="创艺简标宋" w:eastAsia="创艺简标宋" w:hAnsi="创艺简标宋" w:cs="创艺简标宋" w:hint="eastAsia"/>
          <w:sz w:val="44"/>
          <w:szCs w:val="44"/>
        </w:rPr>
      </w:pPr>
      <w:r>
        <w:rPr>
          <w:rFonts w:ascii="创艺简标宋" w:eastAsia="创艺简标宋" w:hAnsi="创艺简标宋" w:cs="创艺简标宋" w:hint="eastAsia"/>
          <w:sz w:val="44"/>
          <w:szCs w:val="44"/>
        </w:rPr>
        <w:t>中介服务事项目录</w:t>
      </w:r>
    </w:p>
    <w:p w:rsidR="006927AC" w:rsidRDefault="006927AC" w:rsidP="006927AC">
      <w:pPr>
        <w:spacing w:line="500" w:lineRule="exact"/>
        <w:jc w:val="center"/>
      </w:pPr>
      <w:r>
        <w:t>（共</w:t>
      </w:r>
      <w:r>
        <w:rPr>
          <w:rFonts w:hint="eastAsia"/>
        </w:rPr>
        <w:t>7</w:t>
      </w:r>
      <w:r>
        <w:t>项）</w:t>
      </w:r>
    </w:p>
    <w:p w:rsidR="006927AC" w:rsidRDefault="006927AC" w:rsidP="006927AC">
      <w:pPr>
        <w:spacing w:line="500" w:lineRule="exact"/>
        <w:rPr>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1287"/>
        <w:gridCol w:w="1455"/>
        <w:gridCol w:w="639"/>
        <w:gridCol w:w="1852"/>
        <w:gridCol w:w="885"/>
        <w:gridCol w:w="2324"/>
        <w:gridCol w:w="1460"/>
      </w:tblGrid>
      <w:tr w:rsidR="006927AC" w:rsidTr="00FD58C9">
        <w:trPr>
          <w:trHeight w:val="728"/>
          <w:tblHeader/>
          <w:jc w:val="center"/>
        </w:trPr>
        <w:tc>
          <w:tcPr>
            <w:tcW w:w="427" w:type="dxa"/>
            <w:vAlign w:val="center"/>
          </w:tcPr>
          <w:p w:rsidR="006927AC" w:rsidRDefault="006927AC" w:rsidP="00FD58C9">
            <w:pPr>
              <w:snapToGrid w:val="0"/>
              <w:spacing w:line="260" w:lineRule="exact"/>
              <w:jc w:val="center"/>
              <w:rPr>
                <w:rFonts w:ascii="黑体" w:eastAsia="黑体" w:hAnsi="黑体" w:cs="黑体" w:hint="eastAsia"/>
                <w:sz w:val="21"/>
                <w:szCs w:val="21"/>
              </w:rPr>
            </w:pPr>
            <w:r>
              <w:rPr>
                <w:rFonts w:ascii="黑体" w:eastAsia="黑体" w:hAnsi="黑体" w:cs="黑体" w:hint="eastAsia"/>
                <w:sz w:val="21"/>
                <w:szCs w:val="21"/>
              </w:rPr>
              <w:t>序号</w:t>
            </w:r>
          </w:p>
        </w:tc>
        <w:tc>
          <w:tcPr>
            <w:tcW w:w="1287" w:type="dxa"/>
            <w:vAlign w:val="center"/>
          </w:tcPr>
          <w:p w:rsidR="006927AC" w:rsidRDefault="006927AC" w:rsidP="00FD58C9">
            <w:pPr>
              <w:snapToGrid w:val="0"/>
              <w:spacing w:line="260" w:lineRule="exact"/>
              <w:jc w:val="center"/>
              <w:rPr>
                <w:rFonts w:ascii="黑体" w:eastAsia="黑体" w:hAnsi="黑体" w:cs="黑体" w:hint="eastAsia"/>
                <w:sz w:val="21"/>
                <w:szCs w:val="21"/>
              </w:rPr>
            </w:pPr>
            <w:r>
              <w:rPr>
                <w:rFonts w:ascii="黑体" w:eastAsia="黑体" w:hAnsi="黑体" w:cs="黑体" w:hint="eastAsia"/>
                <w:sz w:val="21"/>
                <w:szCs w:val="21"/>
              </w:rPr>
              <w:t>中介服务</w:t>
            </w:r>
          </w:p>
          <w:p w:rsidR="006927AC" w:rsidRDefault="006927AC" w:rsidP="00FD58C9">
            <w:pPr>
              <w:snapToGrid w:val="0"/>
              <w:spacing w:line="260" w:lineRule="exact"/>
              <w:jc w:val="center"/>
              <w:rPr>
                <w:rFonts w:ascii="黑体" w:eastAsia="黑体" w:hAnsi="黑体" w:cs="黑体" w:hint="eastAsia"/>
                <w:sz w:val="21"/>
                <w:szCs w:val="21"/>
              </w:rPr>
            </w:pPr>
            <w:r>
              <w:rPr>
                <w:rFonts w:ascii="黑体" w:eastAsia="黑体" w:hAnsi="黑体" w:cs="黑体" w:hint="eastAsia"/>
                <w:sz w:val="21"/>
                <w:szCs w:val="21"/>
              </w:rPr>
              <w:t>事项名称</w:t>
            </w:r>
          </w:p>
        </w:tc>
        <w:tc>
          <w:tcPr>
            <w:tcW w:w="1455" w:type="dxa"/>
            <w:vAlign w:val="center"/>
          </w:tcPr>
          <w:p w:rsidR="006927AC" w:rsidRDefault="006927AC" w:rsidP="00FD58C9">
            <w:pPr>
              <w:snapToGrid w:val="0"/>
              <w:spacing w:line="260" w:lineRule="exact"/>
              <w:jc w:val="center"/>
              <w:rPr>
                <w:rFonts w:ascii="黑体" w:eastAsia="黑体" w:hAnsi="黑体" w:cs="黑体" w:hint="eastAsia"/>
                <w:sz w:val="21"/>
                <w:szCs w:val="21"/>
              </w:rPr>
            </w:pPr>
            <w:r>
              <w:rPr>
                <w:rFonts w:ascii="黑体" w:eastAsia="黑体" w:hAnsi="黑体" w:cs="黑体" w:hint="eastAsia"/>
                <w:sz w:val="21"/>
                <w:szCs w:val="21"/>
              </w:rPr>
              <w:t>涉及的审批</w:t>
            </w:r>
          </w:p>
          <w:p w:rsidR="006927AC" w:rsidRDefault="006927AC" w:rsidP="00FD58C9">
            <w:pPr>
              <w:snapToGrid w:val="0"/>
              <w:spacing w:line="260" w:lineRule="exact"/>
              <w:jc w:val="center"/>
              <w:rPr>
                <w:rFonts w:ascii="黑体" w:eastAsia="黑体" w:hAnsi="黑体" w:cs="黑体" w:hint="eastAsia"/>
                <w:sz w:val="21"/>
                <w:szCs w:val="21"/>
              </w:rPr>
            </w:pPr>
            <w:r>
              <w:rPr>
                <w:rFonts w:ascii="黑体" w:eastAsia="黑体" w:hAnsi="黑体" w:cs="黑体" w:hint="eastAsia"/>
                <w:sz w:val="21"/>
                <w:szCs w:val="21"/>
              </w:rPr>
              <w:t>事项项目名称</w:t>
            </w:r>
          </w:p>
        </w:tc>
        <w:tc>
          <w:tcPr>
            <w:tcW w:w="639" w:type="dxa"/>
            <w:vAlign w:val="center"/>
          </w:tcPr>
          <w:p w:rsidR="006927AC" w:rsidRDefault="006927AC" w:rsidP="00FD58C9">
            <w:pPr>
              <w:snapToGrid w:val="0"/>
              <w:spacing w:line="260" w:lineRule="exact"/>
              <w:jc w:val="center"/>
              <w:rPr>
                <w:rFonts w:ascii="黑体" w:eastAsia="黑体" w:hAnsi="黑体" w:cs="黑体" w:hint="eastAsia"/>
                <w:sz w:val="21"/>
                <w:szCs w:val="21"/>
              </w:rPr>
            </w:pPr>
            <w:r>
              <w:rPr>
                <w:rFonts w:ascii="黑体" w:eastAsia="黑体" w:hAnsi="黑体" w:cs="黑体" w:hint="eastAsia"/>
                <w:sz w:val="21"/>
                <w:szCs w:val="21"/>
              </w:rPr>
              <w:t>审批部门</w:t>
            </w:r>
          </w:p>
        </w:tc>
        <w:tc>
          <w:tcPr>
            <w:tcW w:w="1852" w:type="dxa"/>
            <w:vAlign w:val="center"/>
          </w:tcPr>
          <w:p w:rsidR="006927AC" w:rsidRDefault="006927AC" w:rsidP="00FD58C9">
            <w:pPr>
              <w:snapToGrid w:val="0"/>
              <w:spacing w:line="260" w:lineRule="exact"/>
              <w:jc w:val="center"/>
              <w:rPr>
                <w:rFonts w:ascii="黑体" w:eastAsia="黑体" w:hAnsi="黑体" w:cs="黑体" w:hint="eastAsia"/>
                <w:sz w:val="21"/>
                <w:szCs w:val="21"/>
              </w:rPr>
            </w:pPr>
            <w:r>
              <w:rPr>
                <w:rFonts w:ascii="黑体" w:eastAsia="黑体" w:hAnsi="黑体" w:cs="黑体" w:hint="eastAsia"/>
                <w:sz w:val="21"/>
                <w:szCs w:val="21"/>
              </w:rPr>
              <w:t>中介服务设定</w:t>
            </w:r>
          </w:p>
          <w:p w:rsidR="006927AC" w:rsidRDefault="006927AC" w:rsidP="00FD58C9">
            <w:pPr>
              <w:snapToGrid w:val="0"/>
              <w:spacing w:line="260" w:lineRule="exact"/>
              <w:jc w:val="center"/>
              <w:rPr>
                <w:rFonts w:ascii="黑体" w:eastAsia="黑体" w:hAnsi="黑体" w:cs="黑体" w:hint="eastAsia"/>
                <w:sz w:val="21"/>
                <w:szCs w:val="21"/>
              </w:rPr>
            </w:pPr>
            <w:r>
              <w:rPr>
                <w:rFonts w:ascii="黑体" w:eastAsia="黑体" w:hAnsi="黑体" w:cs="黑体" w:hint="eastAsia"/>
                <w:sz w:val="21"/>
                <w:szCs w:val="21"/>
              </w:rPr>
              <w:t>依据</w:t>
            </w:r>
          </w:p>
        </w:tc>
        <w:tc>
          <w:tcPr>
            <w:tcW w:w="885" w:type="dxa"/>
            <w:vAlign w:val="center"/>
          </w:tcPr>
          <w:p w:rsidR="006927AC" w:rsidRDefault="006927AC" w:rsidP="00FD58C9">
            <w:pPr>
              <w:snapToGrid w:val="0"/>
              <w:spacing w:line="260" w:lineRule="exact"/>
              <w:jc w:val="center"/>
              <w:rPr>
                <w:rFonts w:ascii="黑体" w:eastAsia="黑体" w:hAnsi="黑体" w:cs="黑体" w:hint="eastAsia"/>
                <w:sz w:val="21"/>
                <w:szCs w:val="21"/>
              </w:rPr>
            </w:pPr>
            <w:r>
              <w:rPr>
                <w:rFonts w:ascii="黑体" w:eastAsia="黑体" w:hAnsi="黑体" w:cs="黑体" w:hint="eastAsia"/>
                <w:sz w:val="21"/>
                <w:szCs w:val="21"/>
              </w:rPr>
              <w:t>中介服务实施机构</w:t>
            </w:r>
          </w:p>
        </w:tc>
        <w:tc>
          <w:tcPr>
            <w:tcW w:w="2324" w:type="dxa"/>
            <w:vAlign w:val="center"/>
          </w:tcPr>
          <w:p w:rsidR="006927AC" w:rsidRDefault="006927AC" w:rsidP="00FD58C9">
            <w:pPr>
              <w:snapToGrid w:val="0"/>
              <w:spacing w:line="260" w:lineRule="exact"/>
              <w:jc w:val="center"/>
              <w:rPr>
                <w:rFonts w:ascii="黑体" w:eastAsia="黑体" w:hAnsi="黑体" w:cs="黑体" w:hint="eastAsia"/>
                <w:sz w:val="21"/>
                <w:szCs w:val="21"/>
              </w:rPr>
            </w:pPr>
            <w:r>
              <w:rPr>
                <w:rFonts w:ascii="黑体" w:eastAsia="黑体" w:hAnsi="黑体" w:cs="黑体" w:hint="eastAsia"/>
                <w:sz w:val="21"/>
                <w:szCs w:val="21"/>
              </w:rPr>
              <w:t>处理决定</w:t>
            </w:r>
          </w:p>
        </w:tc>
        <w:tc>
          <w:tcPr>
            <w:tcW w:w="1460" w:type="dxa"/>
            <w:vAlign w:val="center"/>
          </w:tcPr>
          <w:p w:rsidR="006927AC" w:rsidRDefault="006927AC" w:rsidP="00FD58C9">
            <w:pPr>
              <w:snapToGrid w:val="0"/>
              <w:spacing w:line="260" w:lineRule="exact"/>
              <w:jc w:val="center"/>
              <w:rPr>
                <w:rFonts w:ascii="黑体" w:eastAsia="黑体" w:hAnsi="黑体" w:cs="黑体" w:hint="eastAsia"/>
                <w:sz w:val="21"/>
                <w:szCs w:val="21"/>
              </w:rPr>
            </w:pPr>
            <w:r>
              <w:rPr>
                <w:rFonts w:ascii="黑体" w:eastAsia="黑体" w:hAnsi="黑体" w:cs="黑体" w:hint="eastAsia"/>
                <w:sz w:val="21"/>
                <w:szCs w:val="21"/>
              </w:rPr>
              <w:t>备注</w:t>
            </w:r>
          </w:p>
        </w:tc>
      </w:tr>
      <w:tr w:rsidR="006927AC" w:rsidTr="00FD58C9">
        <w:trPr>
          <w:trHeight w:val="2790"/>
          <w:jc w:val="center"/>
        </w:trPr>
        <w:tc>
          <w:tcPr>
            <w:tcW w:w="427" w:type="dxa"/>
            <w:shd w:val="clear" w:color="auto" w:fill="auto"/>
            <w:vAlign w:val="center"/>
          </w:tcPr>
          <w:p w:rsidR="006927AC" w:rsidRDefault="006927AC" w:rsidP="00FD58C9">
            <w:pPr>
              <w:spacing w:line="260" w:lineRule="exact"/>
              <w:jc w:val="center"/>
              <w:rPr>
                <w:rFonts w:ascii="仿宋_GB2312" w:hAnsi="仿宋_GB2312" w:cs="仿宋_GB2312" w:hint="eastAsia"/>
                <w:sz w:val="21"/>
                <w:szCs w:val="21"/>
              </w:rPr>
            </w:pPr>
            <w:r>
              <w:rPr>
                <w:rFonts w:ascii="仿宋_GB2312" w:hAnsi="仿宋_GB2312" w:cs="仿宋_GB2312" w:hint="eastAsia"/>
                <w:sz w:val="21"/>
                <w:szCs w:val="21"/>
              </w:rPr>
              <w:t>1</w:t>
            </w:r>
          </w:p>
        </w:tc>
        <w:tc>
          <w:tcPr>
            <w:tcW w:w="1287"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中外合作经营企业外国合作者先行回收投资验资</w:t>
            </w:r>
          </w:p>
        </w:tc>
        <w:tc>
          <w:tcPr>
            <w:tcW w:w="1455"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中外合作经营企业外国合作者先行回收投资审批</w:t>
            </w:r>
          </w:p>
        </w:tc>
        <w:tc>
          <w:tcPr>
            <w:tcW w:w="639"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市财政局</w:t>
            </w:r>
          </w:p>
        </w:tc>
        <w:tc>
          <w:tcPr>
            <w:tcW w:w="1852"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《中外合作经营企业外国合作者先行回收投资审批办法》</w:t>
            </w:r>
          </w:p>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（财政部令2005年第28号）</w:t>
            </w:r>
          </w:p>
        </w:tc>
        <w:tc>
          <w:tcPr>
            <w:tcW w:w="885"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会计师事务所等具有相关资质的机构</w:t>
            </w:r>
          </w:p>
        </w:tc>
        <w:tc>
          <w:tcPr>
            <w:tcW w:w="2324"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根据《全国人民代表大会常务委员会关于修改〈中华人民共和国对外贸易法〉等十二部法律的决定》（2016年11月7日第十二届全国人民代表大会常务委员会第二十四次会议通过），“中外合作经营企业外国合作者先行回收投资审批”事项已取消，该中介服务事项相应取消</w:t>
            </w:r>
          </w:p>
        </w:tc>
        <w:tc>
          <w:tcPr>
            <w:tcW w:w="1460"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对应广东省第四批清理规范的省政府部门行政审批中介服务事项目录第3项</w:t>
            </w:r>
          </w:p>
        </w:tc>
      </w:tr>
      <w:tr w:rsidR="006927AC" w:rsidTr="00FD58C9">
        <w:trPr>
          <w:trHeight w:val="2853"/>
          <w:jc w:val="center"/>
        </w:trPr>
        <w:tc>
          <w:tcPr>
            <w:tcW w:w="427" w:type="dxa"/>
            <w:shd w:val="clear" w:color="auto" w:fill="auto"/>
            <w:vAlign w:val="center"/>
          </w:tcPr>
          <w:p w:rsidR="006927AC" w:rsidRDefault="006927AC" w:rsidP="00FD58C9">
            <w:pPr>
              <w:spacing w:line="260" w:lineRule="exact"/>
              <w:jc w:val="center"/>
              <w:rPr>
                <w:rFonts w:ascii="仿宋_GB2312" w:hAnsi="仿宋_GB2312" w:cs="仿宋_GB2312" w:hint="eastAsia"/>
                <w:sz w:val="21"/>
                <w:szCs w:val="21"/>
              </w:rPr>
            </w:pPr>
            <w:r>
              <w:rPr>
                <w:rFonts w:ascii="仿宋_GB2312" w:hAnsi="仿宋_GB2312" w:cs="仿宋_GB2312" w:hint="eastAsia"/>
                <w:sz w:val="21"/>
                <w:szCs w:val="21"/>
              </w:rPr>
              <w:t>2</w:t>
            </w:r>
          </w:p>
        </w:tc>
        <w:tc>
          <w:tcPr>
            <w:tcW w:w="1287"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中外合作经营企业拟进行回收投资当期财务会计报告审计</w:t>
            </w:r>
          </w:p>
        </w:tc>
        <w:tc>
          <w:tcPr>
            <w:tcW w:w="1455"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中外合作经营企业外国合作者先行回收投资审批</w:t>
            </w:r>
          </w:p>
        </w:tc>
        <w:tc>
          <w:tcPr>
            <w:tcW w:w="639"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市财政局</w:t>
            </w:r>
          </w:p>
        </w:tc>
        <w:tc>
          <w:tcPr>
            <w:tcW w:w="1852"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《中外合作经营企业外国合作者先行回收投资审批办法》</w:t>
            </w:r>
          </w:p>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（财政部令2005年第28号）</w:t>
            </w:r>
          </w:p>
        </w:tc>
        <w:tc>
          <w:tcPr>
            <w:tcW w:w="885"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会计师事务所或审计事务所及其他具有相关资质的机构</w:t>
            </w:r>
          </w:p>
        </w:tc>
        <w:tc>
          <w:tcPr>
            <w:tcW w:w="2324"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根据《全国人民代表大会常务委员会关于修改〈中华人民共和国对外贸易法〉等十二部法律的决定》（2016年11月7日第十二届全国人民代表大会常务委员会第二十四次会议通过），“中外合作经营企业外国合作者先行回收投资审批”事项已取消，该中介服务事项相应取消</w:t>
            </w:r>
          </w:p>
        </w:tc>
        <w:tc>
          <w:tcPr>
            <w:tcW w:w="1460"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对应广东省第四批清理规范的省政府部门行政审批中介服务事项目录第4项</w:t>
            </w:r>
          </w:p>
        </w:tc>
      </w:tr>
      <w:tr w:rsidR="006927AC" w:rsidTr="00FD58C9">
        <w:trPr>
          <w:trHeight w:val="2538"/>
          <w:jc w:val="center"/>
        </w:trPr>
        <w:tc>
          <w:tcPr>
            <w:tcW w:w="427" w:type="dxa"/>
            <w:shd w:val="clear" w:color="auto" w:fill="auto"/>
            <w:vAlign w:val="center"/>
          </w:tcPr>
          <w:p w:rsidR="006927AC" w:rsidRDefault="006927AC" w:rsidP="00FD58C9">
            <w:pPr>
              <w:spacing w:line="260" w:lineRule="exact"/>
              <w:jc w:val="center"/>
              <w:rPr>
                <w:rFonts w:ascii="仿宋_GB2312" w:hAnsi="仿宋_GB2312" w:cs="仿宋_GB2312" w:hint="eastAsia"/>
                <w:sz w:val="21"/>
                <w:szCs w:val="21"/>
              </w:rPr>
            </w:pPr>
            <w:r>
              <w:rPr>
                <w:rFonts w:ascii="仿宋_GB2312" w:hAnsi="仿宋_GB2312" w:cs="仿宋_GB2312" w:hint="eastAsia"/>
                <w:sz w:val="21"/>
                <w:szCs w:val="21"/>
              </w:rPr>
              <w:t>3</w:t>
            </w:r>
          </w:p>
        </w:tc>
        <w:tc>
          <w:tcPr>
            <w:tcW w:w="1287"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建设项目地质灾害危险性评估</w:t>
            </w:r>
          </w:p>
        </w:tc>
        <w:tc>
          <w:tcPr>
            <w:tcW w:w="1455"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建设项目用地预审</w:t>
            </w:r>
          </w:p>
        </w:tc>
        <w:tc>
          <w:tcPr>
            <w:tcW w:w="639"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市国土资源局</w:t>
            </w:r>
          </w:p>
        </w:tc>
        <w:tc>
          <w:tcPr>
            <w:tcW w:w="1852"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《建设项目用地预审管理办法》（国土资源部令2008年第42号）、《地质灾害危险性评估单位资质管理办法》（国土资源部令2005年第29号发布，国土资源部2015年第62号予以修正）</w:t>
            </w:r>
          </w:p>
        </w:tc>
        <w:tc>
          <w:tcPr>
            <w:tcW w:w="885"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具有地质灾害危险性评估资质的单位</w:t>
            </w:r>
          </w:p>
        </w:tc>
        <w:tc>
          <w:tcPr>
            <w:tcW w:w="2324"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不再要求申请人提供建设项目地质灾害危险性评估材料</w:t>
            </w:r>
          </w:p>
        </w:tc>
        <w:tc>
          <w:tcPr>
            <w:tcW w:w="1460"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对应广东省第四批清理规范的省政府部门行政审批中介服务事项目录第5项</w:t>
            </w:r>
          </w:p>
        </w:tc>
      </w:tr>
      <w:tr w:rsidR="006927AC" w:rsidTr="00FD58C9">
        <w:trPr>
          <w:trHeight w:val="1402"/>
          <w:jc w:val="center"/>
        </w:trPr>
        <w:tc>
          <w:tcPr>
            <w:tcW w:w="427" w:type="dxa"/>
            <w:shd w:val="clear" w:color="auto" w:fill="auto"/>
            <w:vAlign w:val="center"/>
          </w:tcPr>
          <w:p w:rsidR="006927AC" w:rsidRDefault="006927AC" w:rsidP="00FD58C9">
            <w:pPr>
              <w:spacing w:line="260" w:lineRule="exact"/>
              <w:jc w:val="center"/>
              <w:rPr>
                <w:rFonts w:ascii="仿宋_GB2312" w:hAnsi="仿宋_GB2312" w:cs="仿宋_GB2312" w:hint="eastAsia"/>
                <w:sz w:val="21"/>
                <w:szCs w:val="21"/>
              </w:rPr>
            </w:pPr>
            <w:r>
              <w:rPr>
                <w:rFonts w:ascii="仿宋_GB2312" w:hAnsi="仿宋_GB2312" w:cs="仿宋_GB2312" w:hint="eastAsia"/>
                <w:sz w:val="21"/>
                <w:szCs w:val="21"/>
              </w:rPr>
              <w:lastRenderedPageBreak/>
              <w:t>4</w:t>
            </w:r>
          </w:p>
        </w:tc>
        <w:tc>
          <w:tcPr>
            <w:tcW w:w="1287"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外商投资建筑业企业资质申请人资产负债表和损益表审计</w:t>
            </w:r>
          </w:p>
        </w:tc>
        <w:tc>
          <w:tcPr>
            <w:tcW w:w="1455"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建筑业企业资质核准</w:t>
            </w:r>
          </w:p>
        </w:tc>
        <w:tc>
          <w:tcPr>
            <w:tcW w:w="639"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市住房城乡规划建设局</w:t>
            </w:r>
          </w:p>
        </w:tc>
        <w:tc>
          <w:tcPr>
            <w:tcW w:w="1852"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《外商投资建筑业企业管理规定》（建设部、对外贸易经济合作部令2002年第113号）</w:t>
            </w:r>
          </w:p>
        </w:tc>
        <w:tc>
          <w:tcPr>
            <w:tcW w:w="885"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会计师事务所</w:t>
            </w:r>
          </w:p>
        </w:tc>
        <w:tc>
          <w:tcPr>
            <w:tcW w:w="2324"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不再要求申请人提供经审计的资产负债表和损益表</w:t>
            </w:r>
          </w:p>
        </w:tc>
        <w:tc>
          <w:tcPr>
            <w:tcW w:w="1460"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对应广东省第四批清理规范的省政府部门行政审批中介服务事项目录第7项</w:t>
            </w:r>
          </w:p>
        </w:tc>
      </w:tr>
      <w:tr w:rsidR="006927AC" w:rsidTr="00FD58C9">
        <w:trPr>
          <w:trHeight w:val="1571"/>
          <w:jc w:val="center"/>
        </w:trPr>
        <w:tc>
          <w:tcPr>
            <w:tcW w:w="427" w:type="dxa"/>
            <w:shd w:val="clear" w:color="auto" w:fill="auto"/>
            <w:vAlign w:val="center"/>
          </w:tcPr>
          <w:p w:rsidR="006927AC" w:rsidRDefault="006927AC" w:rsidP="00FD58C9">
            <w:pPr>
              <w:spacing w:line="260" w:lineRule="exact"/>
              <w:jc w:val="center"/>
              <w:rPr>
                <w:rFonts w:ascii="仿宋_GB2312" w:hAnsi="仿宋_GB2312" w:cs="仿宋_GB2312" w:hint="eastAsia"/>
                <w:sz w:val="21"/>
                <w:szCs w:val="21"/>
              </w:rPr>
            </w:pPr>
            <w:r>
              <w:rPr>
                <w:rFonts w:ascii="仿宋_GB2312" w:hAnsi="仿宋_GB2312" w:cs="仿宋_GB2312" w:hint="eastAsia"/>
                <w:sz w:val="21"/>
                <w:szCs w:val="21"/>
              </w:rPr>
              <w:t>5</w:t>
            </w:r>
          </w:p>
        </w:tc>
        <w:tc>
          <w:tcPr>
            <w:tcW w:w="1287"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医疗机构执业登记验资</w:t>
            </w:r>
          </w:p>
        </w:tc>
        <w:tc>
          <w:tcPr>
            <w:tcW w:w="1455"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市管权限内的医疗机构设置审批和执业许可</w:t>
            </w:r>
          </w:p>
        </w:tc>
        <w:tc>
          <w:tcPr>
            <w:tcW w:w="639"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市卫生计生局</w:t>
            </w:r>
          </w:p>
        </w:tc>
        <w:tc>
          <w:tcPr>
            <w:tcW w:w="1852"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《医疗机构管理条例实施细则》（卫生部令1994年第35号）</w:t>
            </w:r>
          </w:p>
        </w:tc>
        <w:tc>
          <w:tcPr>
            <w:tcW w:w="885"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会计师事务所等具有相关资质的机构</w:t>
            </w:r>
          </w:p>
        </w:tc>
        <w:tc>
          <w:tcPr>
            <w:tcW w:w="2324"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不再要求申请人提供验资证明材料</w:t>
            </w:r>
          </w:p>
        </w:tc>
        <w:tc>
          <w:tcPr>
            <w:tcW w:w="1460"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对应广东省第四批清理规范的省政府部门行政审批中介服务事项目录第13项</w:t>
            </w:r>
          </w:p>
        </w:tc>
      </w:tr>
      <w:tr w:rsidR="006927AC" w:rsidTr="00FD58C9">
        <w:trPr>
          <w:trHeight w:val="2165"/>
          <w:jc w:val="center"/>
        </w:trPr>
        <w:tc>
          <w:tcPr>
            <w:tcW w:w="427" w:type="dxa"/>
            <w:shd w:val="clear" w:color="auto" w:fill="auto"/>
            <w:vAlign w:val="center"/>
          </w:tcPr>
          <w:p w:rsidR="006927AC" w:rsidRDefault="006927AC" w:rsidP="00FD58C9">
            <w:pPr>
              <w:spacing w:line="260" w:lineRule="exact"/>
              <w:jc w:val="center"/>
              <w:rPr>
                <w:rFonts w:ascii="仿宋_GB2312" w:hAnsi="仿宋_GB2312" w:cs="仿宋_GB2312" w:hint="eastAsia"/>
                <w:sz w:val="21"/>
                <w:szCs w:val="21"/>
              </w:rPr>
            </w:pPr>
            <w:r>
              <w:rPr>
                <w:rFonts w:ascii="仿宋_GB2312" w:hAnsi="仿宋_GB2312" w:cs="仿宋_GB2312" w:hint="eastAsia"/>
                <w:sz w:val="21"/>
                <w:szCs w:val="21"/>
              </w:rPr>
              <w:t>6</w:t>
            </w:r>
          </w:p>
        </w:tc>
        <w:tc>
          <w:tcPr>
            <w:tcW w:w="1287"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涉及饮用水卫生安全产品检验</w:t>
            </w:r>
          </w:p>
        </w:tc>
        <w:tc>
          <w:tcPr>
            <w:tcW w:w="1455"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饮用水供水单位卫生许可</w:t>
            </w:r>
          </w:p>
        </w:tc>
        <w:tc>
          <w:tcPr>
            <w:tcW w:w="639"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市卫生计生局</w:t>
            </w:r>
          </w:p>
        </w:tc>
        <w:tc>
          <w:tcPr>
            <w:tcW w:w="1852"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《生活饮用水卫生监督管理办法》（建设部、卫生部1996年第53号）、《省级涉及饮用水卫生安全产品卫生行政许可规定》（国卫办监督发〔2014〕63号）</w:t>
            </w:r>
          </w:p>
        </w:tc>
        <w:tc>
          <w:tcPr>
            <w:tcW w:w="885"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具有相关资质的检验机构</w:t>
            </w:r>
          </w:p>
        </w:tc>
        <w:tc>
          <w:tcPr>
            <w:tcW w:w="2324"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申请人可按照国家卫生标准和卫生规范要求，对产品自行检验，也可委托有关机构开展检验，审批部门不得以任何形式要求申请人必须委托中介机构提供服务</w:t>
            </w:r>
          </w:p>
        </w:tc>
        <w:tc>
          <w:tcPr>
            <w:tcW w:w="1460"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对应广东省第四批清理规范的省政府部门行政审批中介服务事项目录第14项</w:t>
            </w:r>
          </w:p>
        </w:tc>
      </w:tr>
      <w:tr w:rsidR="006927AC" w:rsidTr="00FD58C9">
        <w:trPr>
          <w:trHeight w:val="1757"/>
          <w:jc w:val="center"/>
        </w:trPr>
        <w:tc>
          <w:tcPr>
            <w:tcW w:w="427" w:type="dxa"/>
            <w:shd w:val="clear" w:color="auto" w:fill="auto"/>
            <w:vAlign w:val="center"/>
          </w:tcPr>
          <w:p w:rsidR="006927AC" w:rsidRDefault="006927AC" w:rsidP="00FD58C9">
            <w:pPr>
              <w:spacing w:line="260" w:lineRule="exact"/>
              <w:jc w:val="center"/>
              <w:rPr>
                <w:rFonts w:ascii="仿宋_GB2312" w:hAnsi="仿宋_GB2312" w:cs="仿宋_GB2312" w:hint="eastAsia"/>
                <w:sz w:val="21"/>
                <w:szCs w:val="21"/>
              </w:rPr>
            </w:pPr>
            <w:r>
              <w:rPr>
                <w:rFonts w:ascii="仿宋_GB2312" w:hAnsi="仿宋_GB2312" w:cs="仿宋_GB2312" w:hint="eastAsia"/>
                <w:sz w:val="21"/>
                <w:szCs w:val="21"/>
              </w:rPr>
              <w:t>7</w:t>
            </w:r>
          </w:p>
        </w:tc>
        <w:tc>
          <w:tcPr>
            <w:tcW w:w="1287"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申请制作、复制国家秘密载体定点单位乙级资质所需的验资及财务审计</w:t>
            </w:r>
          </w:p>
        </w:tc>
        <w:tc>
          <w:tcPr>
            <w:tcW w:w="1455"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市属维修、销毁国家秘密载体定点单位审批</w:t>
            </w:r>
          </w:p>
        </w:tc>
        <w:tc>
          <w:tcPr>
            <w:tcW w:w="639"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市保密局</w:t>
            </w:r>
          </w:p>
        </w:tc>
        <w:tc>
          <w:tcPr>
            <w:tcW w:w="1852"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《中华人民共和国保守国家秘密法实施条例》、《国家秘密载体印制资质管理法》（国保发〔2012〕7号）</w:t>
            </w:r>
          </w:p>
        </w:tc>
        <w:tc>
          <w:tcPr>
            <w:tcW w:w="885"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会计师事务所或审计事务所</w:t>
            </w:r>
          </w:p>
        </w:tc>
        <w:tc>
          <w:tcPr>
            <w:tcW w:w="2324"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不再要求申请人提供验资报告和上一年度财务审计报告</w:t>
            </w:r>
          </w:p>
        </w:tc>
        <w:tc>
          <w:tcPr>
            <w:tcW w:w="1460" w:type="dxa"/>
            <w:shd w:val="clear" w:color="auto" w:fill="FFFFFF"/>
            <w:vAlign w:val="center"/>
          </w:tcPr>
          <w:p w:rsidR="006927AC" w:rsidRDefault="006927AC" w:rsidP="00FD58C9">
            <w:pPr>
              <w:widowControl/>
              <w:shd w:val="clear" w:color="auto" w:fill="FFFFFF"/>
              <w:spacing w:line="260" w:lineRule="exact"/>
              <w:jc w:val="lef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rPr>
              <w:t>对应广东省第四批清理规范的省政府部门行政审批中介服务事项目录第18项</w:t>
            </w:r>
          </w:p>
        </w:tc>
      </w:tr>
    </w:tbl>
    <w:p w:rsidR="00875478" w:rsidRPr="006927AC" w:rsidRDefault="00875478"/>
    <w:sectPr w:rsidR="00875478" w:rsidRPr="006927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478" w:rsidRDefault="00875478" w:rsidP="006927AC">
      <w:r>
        <w:separator/>
      </w:r>
    </w:p>
  </w:endnote>
  <w:endnote w:type="continuationSeparator" w:id="1">
    <w:p w:rsidR="00875478" w:rsidRDefault="00875478" w:rsidP="006927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方正舒体"/>
    <w:charset w:val="86"/>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478" w:rsidRDefault="00875478" w:rsidP="006927AC">
      <w:r>
        <w:separator/>
      </w:r>
    </w:p>
  </w:footnote>
  <w:footnote w:type="continuationSeparator" w:id="1">
    <w:p w:rsidR="00875478" w:rsidRDefault="00875478" w:rsidP="006927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7AC"/>
    <w:rsid w:val="006927AC"/>
    <w:rsid w:val="00875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A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7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927AC"/>
    <w:rPr>
      <w:sz w:val="18"/>
      <w:szCs w:val="18"/>
    </w:rPr>
  </w:style>
  <w:style w:type="paragraph" w:styleId="a4">
    <w:name w:val="footer"/>
    <w:basedOn w:val="a"/>
    <w:link w:val="Char0"/>
    <w:uiPriority w:val="99"/>
    <w:semiHidden/>
    <w:unhideWhenUsed/>
    <w:rsid w:val="006927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927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1323</Characters>
  <Application>Microsoft Office Word</Application>
  <DocSecurity>0</DocSecurity>
  <Lines>11</Lines>
  <Paragraphs>3</Paragraphs>
  <ScaleCrop>false</ScaleCrop>
  <Company>Microsoft</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2018-12-03T08:35:00Z</dcterms:created>
  <dcterms:modified xsi:type="dcterms:W3CDTF">2018-12-03T08:35:00Z</dcterms:modified>
</cp:coreProperties>
</file>