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3AF" w:rsidRDefault="001C63AF" w:rsidP="001C63AF">
      <w:pPr>
        <w:widowControl/>
        <w:shd w:val="clear" w:color="auto" w:fill="FFFFFF"/>
        <w:spacing w:line="700" w:lineRule="atLeast"/>
        <w:rPr>
          <w:rFonts w:ascii="黑体" w:eastAsia="黑体" w:hAnsi="黑体"/>
          <w:kern w:val="0"/>
          <w:szCs w:val="32"/>
          <w:shd w:val="clear" w:color="auto" w:fill="FFFFFF"/>
        </w:rPr>
      </w:pPr>
      <w:r>
        <w:rPr>
          <w:rFonts w:ascii="黑体" w:eastAsia="黑体" w:hAnsi="黑体" w:hint="eastAsia"/>
          <w:kern w:val="0"/>
          <w:szCs w:val="32"/>
          <w:shd w:val="clear" w:color="auto" w:fill="FFFFFF"/>
        </w:rPr>
        <w:t>附 件</w:t>
      </w:r>
    </w:p>
    <w:p w:rsidR="001C63AF" w:rsidRDefault="001C63AF" w:rsidP="001C63AF">
      <w:pPr>
        <w:widowControl/>
        <w:shd w:val="clear" w:color="auto" w:fill="FFFFFF"/>
        <w:spacing w:line="700" w:lineRule="atLeast"/>
        <w:jc w:val="center"/>
        <w:rPr>
          <w:rFonts w:ascii="黑体" w:eastAsia="黑体" w:hint="eastAsia"/>
          <w:kern w:val="0"/>
          <w:sz w:val="44"/>
          <w:szCs w:val="44"/>
        </w:rPr>
      </w:pPr>
    </w:p>
    <w:p w:rsidR="001C63AF" w:rsidRDefault="001C63AF" w:rsidP="001C63AF">
      <w:pPr>
        <w:widowControl/>
        <w:shd w:val="clear" w:color="auto" w:fill="FFFFFF"/>
        <w:spacing w:line="700" w:lineRule="atLeast"/>
        <w:jc w:val="center"/>
        <w:rPr>
          <w:rFonts w:ascii="黑体" w:eastAsia="黑体" w:hint="eastAsia"/>
          <w:kern w:val="0"/>
          <w:sz w:val="44"/>
          <w:szCs w:val="44"/>
        </w:rPr>
      </w:pPr>
    </w:p>
    <w:p w:rsidR="001C63AF" w:rsidRDefault="001C63AF" w:rsidP="001C63AF">
      <w:pPr>
        <w:widowControl/>
        <w:shd w:val="clear" w:color="auto" w:fill="FFFFFF"/>
        <w:spacing w:line="700" w:lineRule="atLeast"/>
        <w:jc w:val="center"/>
        <w:rPr>
          <w:rFonts w:ascii="黑体" w:eastAsia="黑体" w:hint="eastAsia"/>
          <w:kern w:val="0"/>
          <w:sz w:val="44"/>
          <w:szCs w:val="44"/>
        </w:rPr>
      </w:pPr>
    </w:p>
    <w:p w:rsidR="001C63AF" w:rsidRDefault="001C63AF" w:rsidP="001C63AF">
      <w:pPr>
        <w:widowControl/>
        <w:shd w:val="clear" w:color="auto" w:fill="FFFFFF"/>
        <w:spacing w:line="700" w:lineRule="atLeast"/>
        <w:jc w:val="center"/>
        <w:rPr>
          <w:rFonts w:ascii="黑体" w:eastAsia="黑体" w:hint="eastAsia"/>
          <w:kern w:val="0"/>
          <w:sz w:val="44"/>
          <w:szCs w:val="44"/>
        </w:rPr>
      </w:pPr>
    </w:p>
    <w:p w:rsidR="001C63AF" w:rsidRDefault="001C63AF" w:rsidP="001C63AF">
      <w:pPr>
        <w:widowControl/>
        <w:shd w:val="clear" w:color="auto" w:fill="FFFFFF"/>
        <w:spacing w:line="700" w:lineRule="atLeast"/>
        <w:jc w:val="center"/>
        <w:rPr>
          <w:rFonts w:ascii="创艺简标宋" w:eastAsia="创艺简标宋" w:hAnsi="华文中宋" w:cs="华文中宋" w:hint="eastAsia"/>
          <w:kern w:val="0"/>
          <w:sz w:val="44"/>
          <w:szCs w:val="44"/>
        </w:rPr>
      </w:pPr>
      <w:r>
        <w:rPr>
          <w:rFonts w:ascii="创艺简标宋" w:eastAsia="创艺简标宋" w:hAnsi="华文中宋" w:cs="华文中宋" w:hint="eastAsia"/>
          <w:kern w:val="0"/>
          <w:sz w:val="44"/>
          <w:szCs w:val="44"/>
        </w:rPr>
        <w:t>河源市创建“广东省推进教育现代化先进市”责任分工表</w:t>
      </w:r>
    </w:p>
    <w:p w:rsidR="001C63AF" w:rsidRDefault="001C63AF" w:rsidP="001C63AF">
      <w:pPr>
        <w:widowControl/>
        <w:shd w:val="clear" w:color="auto" w:fill="FFFFFF"/>
        <w:spacing w:line="420" w:lineRule="atLeast"/>
        <w:jc w:val="center"/>
        <w:rPr>
          <w:rFonts w:ascii="仿宋" w:eastAsia="仿宋" w:hAnsi="仿宋" w:hint="eastAsia"/>
          <w:kern w:val="0"/>
          <w:sz w:val="36"/>
          <w:szCs w:val="36"/>
          <w:shd w:val="clear" w:color="auto" w:fill="FFFFFF"/>
        </w:rPr>
      </w:pPr>
      <w:r>
        <w:rPr>
          <w:rFonts w:ascii="仿宋" w:eastAsia="仿宋" w:hAnsi="仿宋" w:hint="eastAsia"/>
          <w:kern w:val="0"/>
          <w:sz w:val="36"/>
          <w:szCs w:val="36"/>
          <w:shd w:val="clear" w:color="auto" w:fill="FFFFFF"/>
        </w:rPr>
        <w:t xml:space="preserve"> </w:t>
      </w:r>
    </w:p>
    <w:p w:rsidR="001C63AF" w:rsidRDefault="001C63AF" w:rsidP="001C63AF">
      <w:pPr>
        <w:widowControl/>
        <w:shd w:val="clear" w:color="auto" w:fill="FFFFFF"/>
        <w:spacing w:line="420" w:lineRule="atLeast"/>
        <w:jc w:val="center"/>
        <w:rPr>
          <w:rFonts w:ascii="仿宋" w:eastAsia="仿宋" w:hAnsi="仿宋" w:hint="eastAsia"/>
          <w:kern w:val="0"/>
          <w:sz w:val="36"/>
          <w:szCs w:val="36"/>
          <w:shd w:val="clear" w:color="auto" w:fill="FFFFFF"/>
        </w:rPr>
      </w:pPr>
      <w:r>
        <w:rPr>
          <w:rFonts w:ascii="仿宋" w:eastAsia="仿宋" w:hAnsi="仿宋" w:hint="eastAsia"/>
          <w:kern w:val="0"/>
          <w:sz w:val="36"/>
          <w:szCs w:val="36"/>
          <w:shd w:val="clear" w:color="auto" w:fill="FFFFFF"/>
        </w:rPr>
        <w:t xml:space="preserve"> </w:t>
      </w:r>
    </w:p>
    <w:p w:rsidR="001C63AF" w:rsidRDefault="001C63AF" w:rsidP="001C63AF">
      <w:pPr>
        <w:widowControl/>
        <w:shd w:val="clear" w:color="auto" w:fill="FFFFFF"/>
        <w:spacing w:line="420" w:lineRule="atLeast"/>
        <w:rPr>
          <w:rFonts w:ascii="仿宋" w:eastAsia="仿宋" w:hAnsi="仿宋" w:hint="eastAsia"/>
          <w:kern w:val="0"/>
          <w:sz w:val="36"/>
          <w:szCs w:val="36"/>
          <w:shd w:val="clear" w:color="auto" w:fill="FFFFFF"/>
        </w:rPr>
      </w:pPr>
      <w:r>
        <w:rPr>
          <w:rFonts w:ascii="仿宋" w:eastAsia="仿宋" w:hAnsi="仿宋" w:hint="eastAsia"/>
          <w:kern w:val="0"/>
          <w:sz w:val="36"/>
          <w:szCs w:val="36"/>
          <w:shd w:val="clear" w:color="auto" w:fill="FFFFFF"/>
        </w:rPr>
        <w:t xml:space="preserve"> </w:t>
      </w:r>
    </w:p>
    <w:p w:rsidR="001C63AF" w:rsidRDefault="001C63AF" w:rsidP="001C63AF">
      <w:pPr>
        <w:widowControl/>
        <w:shd w:val="clear" w:color="auto" w:fill="FFFFFF"/>
        <w:spacing w:line="420" w:lineRule="atLeast"/>
        <w:rPr>
          <w:rFonts w:ascii="仿宋" w:eastAsia="仿宋" w:hAnsi="仿宋" w:hint="eastAsia"/>
          <w:kern w:val="0"/>
          <w:sz w:val="36"/>
          <w:szCs w:val="36"/>
          <w:shd w:val="clear" w:color="auto" w:fill="FFFFFF"/>
        </w:rPr>
      </w:pPr>
    </w:p>
    <w:p w:rsidR="001C63AF" w:rsidRDefault="001C63AF" w:rsidP="001C63AF">
      <w:pPr>
        <w:widowControl/>
        <w:shd w:val="clear" w:color="auto" w:fill="FFFFFF"/>
        <w:spacing w:line="420" w:lineRule="atLeast"/>
        <w:jc w:val="center"/>
        <w:rPr>
          <w:rFonts w:ascii="仿宋" w:eastAsia="仿宋" w:hAnsi="仿宋" w:hint="eastAsia"/>
          <w:kern w:val="0"/>
          <w:sz w:val="36"/>
          <w:szCs w:val="36"/>
          <w:shd w:val="clear" w:color="auto" w:fill="FFFFFF"/>
        </w:rPr>
      </w:pPr>
    </w:p>
    <w:p w:rsidR="001C63AF" w:rsidRDefault="001C63AF" w:rsidP="001C63AF">
      <w:pPr>
        <w:widowControl/>
        <w:shd w:val="clear" w:color="auto" w:fill="FFFFFF"/>
        <w:spacing w:line="420" w:lineRule="atLeast"/>
        <w:jc w:val="center"/>
        <w:rPr>
          <w:rFonts w:ascii="仿宋" w:eastAsia="仿宋" w:hAnsi="仿宋" w:hint="eastAsia"/>
          <w:kern w:val="0"/>
          <w:sz w:val="36"/>
          <w:szCs w:val="36"/>
          <w:shd w:val="clear" w:color="auto" w:fill="FFFFFF"/>
        </w:rPr>
      </w:pPr>
    </w:p>
    <w:p w:rsidR="001C63AF" w:rsidRDefault="001C63AF" w:rsidP="001C63AF">
      <w:pPr>
        <w:widowControl/>
        <w:shd w:val="clear" w:color="auto" w:fill="FFFFFF"/>
        <w:spacing w:line="420" w:lineRule="atLeast"/>
        <w:jc w:val="center"/>
        <w:rPr>
          <w:rFonts w:ascii="仿宋" w:eastAsia="仿宋" w:hAnsi="仿宋" w:hint="eastAsia"/>
          <w:kern w:val="0"/>
          <w:sz w:val="36"/>
          <w:szCs w:val="36"/>
          <w:shd w:val="clear" w:color="auto" w:fill="FFFFFF"/>
        </w:rPr>
      </w:pPr>
    </w:p>
    <w:p w:rsidR="001C63AF" w:rsidRDefault="001C63AF" w:rsidP="001C63AF">
      <w:pPr>
        <w:widowControl/>
        <w:shd w:val="clear" w:color="auto" w:fill="FFFFFF"/>
        <w:spacing w:line="420" w:lineRule="atLeast"/>
        <w:jc w:val="center"/>
        <w:rPr>
          <w:rFonts w:ascii="仿宋" w:eastAsia="仿宋" w:hAnsi="仿宋" w:hint="eastAsia"/>
          <w:kern w:val="0"/>
          <w:sz w:val="36"/>
          <w:szCs w:val="36"/>
          <w:shd w:val="clear" w:color="auto" w:fill="FFFFFF"/>
        </w:rPr>
      </w:pPr>
      <w:r>
        <w:rPr>
          <w:rFonts w:ascii="仿宋" w:eastAsia="仿宋" w:hAnsi="仿宋" w:hint="eastAsia"/>
          <w:kern w:val="0"/>
          <w:sz w:val="36"/>
          <w:szCs w:val="36"/>
          <w:shd w:val="clear" w:color="auto" w:fill="FFFFFF"/>
        </w:rPr>
        <w:t xml:space="preserve"> </w:t>
      </w:r>
    </w:p>
    <w:p w:rsidR="001C63AF" w:rsidRDefault="001C63AF" w:rsidP="001C63AF">
      <w:pPr>
        <w:widowControl/>
        <w:numPr>
          <w:ilvl w:val="0"/>
          <w:numId w:val="1"/>
        </w:numPr>
        <w:shd w:val="clear" w:color="auto" w:fill="FFFFFF"/>
        <w:tabs>
          <w:tab w:val="left" w:pos="960"/>
        </w:tabs>
        <w:spacing w:line="420" w:lineRule="atLeast"/>
        <w:jc w:val="center"/>
        <w:rPr>
          <w:rFonts w:ascii="创艺简标宋" w:eastAsia="创艺简标宋" w:hAnsi="仿宋" w:hint="eastAsia"/>
          <w:kern w:val="0"/>
          <w:szCs w:val="21"/>
        </w:rPr>
      </w:pPr>
      <w:r>
        <w:rPr>
          <w:rFonts w:ascii="创艺简标宋" w:eastAsia="创艺简标宋" w:hAnsi="仿宋" w:hint="eastAsia"/>
          <w:kern w:val="0"/>
          <w:szCs w:val="32"/>
        </w:rPr>
        <w:t>督导验收指标体系</w:t>
      </w:r>
    </w:p>
    <w:tbl>
      <w:tblPr>
        <w:tblW w:w="14490"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878"/>
        <w:gridCol w:w="6601"/>
        <w:gridCol w:w="3418"/>
        <w:gridCol w:w="2804"/>
      </w:tblGrid>
      <w:tr w:rsidR="001C63AF" w:rsidTr="001C63AF">
        <w:trPr>
          <w:trHeight w:val="567"/>
          <w:tblHeader/>
        </w:trPr>
        <w:tc>
          <w:tcPr>
            <w:tcW w:w="79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黑体" w:eastAsia="黑体" w:hAnsi="黑体"/>
                <w:kern w:val="0"/>
                <w:sz w:val="28"/>
                <w:szCs w:val="28"/>
              </w:rPr>
            </w:pPr>
            <w:r>
              <w:rPr>
                <w:rFonts w:ascii="黑体" w:eastAsia="黑体" w:hAnsi="黑体" w:hint="eastAsia"/>
                <w:bCs/>
                <w:kern w:val="0"/>
                <w:sz w:val="28"/>
                <w:szCs w:val="28"/>
              </w:rPr>
              <w:t>一级</w:t>
            </w:r>
          </w:p>
          <w:p w:rsidR="001C63AF" w:rsidRDefault="001C63AF">
            <w:pPr>
              <w:widowControl/>
              <w:spacing w:line="400" w:lineRule="exact"/>
              <w:jc w:val="center"/>
              <w:rPr>
                <w:rFonts w:ascii="黑体" w:eastAsia="黑体" w:hAnsi="黑体"/>
                <w:kern w:val="0"/>
                <w:sz w:val="28"/>
                <w:szCs w:val="28"/>
              </w:rPr>
            </w:pPr>
            <w:r>
              <w:rPr>
                <w:rFonts w:ascii="黑体" w:eastAsia="黑体" w:hAnsi="黑体" w:hint="eastAsia"/>
                <w:bCs/>
                <w:kern w:val="0"/>
                <w:sz w:val="28"/>
                <w:szCs w:val="28"/>
              </w:rPr>
              <w:t>指标</w:t>
            </w: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黑体" w:eastAsia="黑体" w:hAnsi="黑体"/>
                <w:kern w:val="0"/>
                <w:sz w:val="28"/>
                <w:szCs w:val="28"/>
              </w:rPr>
            </w:pPr>
            <w:r>
              <w:rPr>
                <w:rFonts w:ascii="黑体" w:eastAsia="黑体" w:hAnsi="黑体" w:hint="eastAsia"/>
                <w:bCs/>
                <w:kern w:val="0"/>
                <w:sz w:val="28"/>
                <w:szCs w:val="28"/>
              </w:rPr>
              <w:t>二级指标</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黑体" w:eastAsia="黑体" w:hAnsi="黑体"/>
                <w:kern w:val="0"/>
                <w:sz w:val="28"/>
                <w:szCs w:val="28"/>
              </w:rPr>
            </w:pPr>
            <w:r>
              <w:rPr>
                <w:rFonts w:ascii="黑体" w:eastAsia="黑体" w:hAnsi="黑体" w:hint="eastAsia"/>
                <w:bCs/>
                <w:kern w:val="0"/>
                <w:sz w:val="28"/>
                <w:szCs w:val="28"/>
              </w:rPr>
              <w:t>三级指标（A级标准）</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黑体" w:eastAsia="黑体" w:hAnsi="黑体"/>
                <w:kern w:val="0"/>
                <w:sz w:val="28"/>
                <w:szCs w:val="28"/>
              </w:rPr>
            </w:pPr>
            <w:r>
              <w:rPr>
                <w:rFonts w:ascii="黑体" w:eastAsia="黑体" w:hAnsi="黑体" w:hint="eastAsia"/>
                <w:bCs/>
                <w:kern w:val="0"/>
                <w:sz w:val="28"/>
                <w:szCs w:val="28"/>
              </w:rPr>
              <w:t>评估说明</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黑体" w:eastAsia="黑体" w:hAnsi="黑体"/>
                <w:kern w:val="0"/>
                <w:sz w:val="28"/>
                <w:szCs w:val="28"/>
              </w:rPr>
            </w:pPr>
            <w:r>
              <w:rPr>
                <w:rFonts w:ascii="黑体" w:eastAsia="黑体" w:hAnsi="黑体" w:hint="eastAsia"/>
                <w:bCs/>
                <w:kern w:val="0"/>
                <w:sz w:val="28"/>
                <w:szCs w:val="28"/>
              </w:rPr>
              <w:t>责任单位</w:t>
            </w:r>
          </w:p>
        </w:tc>
      </w:tr>
      <w:tr w:rsidR="001C63AF" w:rsidTr="001C63AF">
        <w:trPr>
          <w:trHeight w:val="1430"/>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1.</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地</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位</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1.1</w:t>
            </w:r>
            <w:r>
              <w:rPr>
                <w:rFonts w:ascii="仿宋_GB2312" w:hAnsi="仿宋" w:hint="eastAsia"/>
                <w:kern w:val="0"/>
                <w:sz w:val="28"/>
                <w:szCs w:val="28"/>
              </w:rPr>
              <w:br/>
              <w:t>思想理念</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1.1.1</w:t>
              </w:r>
            </w:smartTag>
            <w:r>
              <w:rPr>
                <w:rFonts w:ascii="仿宋_GB2312" w:hAnsi="仿宋" w:hint="eastAsia"/>
                <w:kern w:val="0"/>
                <w:sz w:val="28"/>
                <w:szCs w:val="28"/>
              </w:rPr>
              <w:t>坚持教育优先发展战略定位，坚持教育发展标准化、均衡化、信息化、多样化、优质化、国际化，积极推进教育现代化。坚持依法治校，推进教育治理能力现代化。</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根据评估实际情况予以判断；无素质教育发展观念，为B；无发展规划、无优先政策，则该项指标为C。</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市教育局、市府办公室、</w:t>
            </w:r>
            <w:bookmarkStart w:id="0" w:name="OLE_LINK9"/>
            <w:r>
              <w:rPr>
                <w:rFonts w:ascii="仿宋_GB2312" w:hAnsi="仿宋" w:hint="eastAsia"/>
                <w:kern w:val="0"/>
                <w:sz w:val="28"/>
                <w:szCs w:val="28"/>
              </w:rPr>
              <w:t>市发展和改革局、市住房和城乡规划建设局、各县（区）人民政府（管委会）</w:t>
            </w:r>
            <w:bookmarkEnd w:id="0"/>
          </w:p>
        </w:tc>
      </w:tr>
      <w:tr w:rsidR="001C63AF" w:rsidTr="001C63AF">
        <w:trPr>
          <w:trHeight w:val="1168"/>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1.1.2</w:t>
              </w:r>
            </w:smartTag>
            <w:r>
              <w:rPr>
                <w:rFonts w:ascii="仿宋_GB2312" w:hAnsi="仿宋" w:hint="eastAsia"/>
                <w:kern w:val="0"/>
                <w:sz w:val="28"/>
                <w:szCs w:val="28"/>
              </w:rPr>
              <w:t>确立素质教育为核心的教育科学发展观，明确培养目标，改革培养模式，创新培养方式。</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21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1.2</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发展规划</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1.2.1</w:t>
              </w:r>
            </w:smartTag>
            <w:r>
              <w:rPr>
                <w:rFonts w:ascii="仿宋_GB2312" w:hAnsi="仿宋" w:hint="eastAsia"/>
                <w:kern w:val="0"/>
                <w:sz w:val="28"/>
                <w:szCs w:val="28"/>
              </w:rPr>
              <w:t>.以国内外发达地区为标杆，制定推进本地区教育现代化的中长期教育改革发展规划。</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市教育局、市府办公室、市住房和城乡规划建设局、</w:t>
            </w:r>
            <w:bookmarkStart w:id="1" w:name="OLE_LINK14"/>
            <w:r>
              <w:rPr>
                <w:rFonts w:ascii="仿宋_GB2312" w:hAnsi="仿宋" w:hint="eastAsia"/>
                <w:kern w:val="0"/>
                <w:sz w:val="28"/>
                <w:szCs w:val="28"/>
              </w:rPr>
              <w:t>市法制局、</w:t>
            </w:r>
            <w:bookmarkEnd w:id="1"/>
            <w:r>
              <w:rPr>
                <w:rFonts w:ascii="仿宋_GB2312" w:hAnsi="仿宋" w:hint="eastAsia"/>
                <w:kern w:val="0"/>
                <w:sz w:val="28"/>
                <w:szCs w:val="28"/>
              </w:rPr>
              <w:lastRenderedPageBreak/>
              <w:t>各县（区）人民政府（管委会）</w:t>
            </w:r>
          </w:p>
        </w:tc>
      </w:tr>
      <w:tr w:rsidR="001C63AF" w:rsidTr="001C63AF">
        <w:trPr>
          <w:trHeight w:val="2438"/>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1.2.2</w:t>
              </w:r>
            </w:smartTag>
            <w:r>
              <w:rPr>
                <w:rFonts w:ascii="仿宋_GB2312" w:hAnsi="仿宋" w:hint="eastAsia"/>
                <w:kern w:val="0"/>
                <w:sz w:val="28"/>
                <w:szCs w:val="28"/>
              </w:rPr>
              <w:t>建立完善教育优先发展规划、决策机制，城乡规划委员会将教育部门列为成员单位，完善学校建设规划、实施机制；制定市、区基础教育学校基本建设专项规划并纳入控制性详细规划并按计划如期推进；城镇新建住宅区配套学校、幼儿园按规定与住宅区建设同步设计、同步建设、同步竣工验收并无偿移交政府使用。</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844"/>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lastRenderedPageBreak/>
              <w:t>1.</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地</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位</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1.3</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政策环境</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1.3.1</w:t>
              </w:r>
            </w:smartTag>
            <w:r>
              <w:rPr>
                <w:rFonts w:ascii="仿宋_GB2312" w:hAnsi="仿宋" w:hint="eastAsia"/>
                <w:kern w:val="0"/>
                <w:sz w:val="28"/>
                <w:szCs w:val="28"/>
              </w:rPr>
              <w:t>优化教育改革发展的政策，构建教育优先发展的保障机制。</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根据评估实际情况予以判断；无素质教育发展观念，为B；无发展规划、无优先政策，则该项指标为C。</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市教育局、市府办公室、</w:t>
            </w:r>
            <w:bookmarkStart w:id="2" w:name="OLE_LINK22"/>
            <w:r>
              <w:rPr>
                <w:rFonts w:ascii="仿宋_GB2312" w:hAnsi="仿宋" w:hint="eastAsia"/>
                <w:kern w:val="0"/>
                <w:sz w:val="28"/>
                <w:szCs w:val="28"/>
              </w:rPr>
              <w:t>市委宣传部、市财政局、市文化广电新闻出版局、</w:t>
            </w:r>
            <w:bookmarkEnd w:id="2"/>
            <w:r>
              <w:rPr>
                <w:rFonts w:ascii="仿宋_GB2312" w:hAnsi="仿宋" w:hint="eastAsia"/>
                <w:kern w:val="0"/>
                <w:sz w:val="28"/>
                <w:szCs w:val="28"/>
              </w:rPr>
              <w:t>市法制局、各县（区）人民政府（管委会）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1.3.2</w:t>
              </w:r>
            </w:smartTag>
            <w:r>
              <w:rPr>
                <w:rFonts w:ascii="仿宋_GB2312" w:hAnsi="仿宋" w:hint="eastAsia"/>
                <w:kern w:val="0"/>
                <w:sz w:val="28"/>
                <w:szCs w:val="28"/>
              </w:rPr>
              <w:t>提升教育改革发展的优良环境，营造有利于人的全面发展的良好氛围。</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660"/>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2.</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条</w:t>
            </w:r>
          </w:p>
          <w:p w:rsidR="001C63AF" w:rsidRDefault="001C63AF">
            <w:pPr>
              <w:widowControl/>
              <w:spacing w:line="400" w:lineRule="exact"/>
              <w:jc w:val="center"/>
              <w:rPr>
                <w:rFonts w:ascii="仿宋_GB2312" w:hAnsi="仿宋"/>
                <w:b/>
                <w:bCs/>
                <w:kern w:val="0"/>
                <w:sz w:val="28"/>
                <w:szCs w:val="28"/>
              </w:rPr>
            </w:pPr>
            <w:r>
              <w:rPr>
                <w:rFonts w:ascii="仿宋_GB2312" w:hAnsi="仿宋" w:hint="eastAsia"/>
                <w:b/>
                <w:bCs/>
                <w:kern w:val="0"/>
                <w:sz w:val="28"/>
                <w:szCs w:val="28"/>
              </w:rPr>
              <w:lastRenderedPageBreak/>
              <w:t>件</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lastRenderedPageBreak/>
              <w:t>2.1</w:t>
            </w:r>
          </w:p>
          <w:p w:rsidR="001C63AF" w:rsidRDefault="001C63AF">
            <w:pPr>
              <w:widowControl/>
              <w:spacing w:line="400" w:lineRule="exact"/>
              <w:jc w:val="left"/>
              <w:rPr>
                <w:rFonts w:ascii="仿宋_GB2312" w:hAnsi="仿宋"/>
                <w:kern w:val="0"/>
                <w:sz w:val="28"/>
                <w:szCs w:val="28"/>
              </w:rPr>
            </w:pPr>
            <w:r>
              <w:rPr>
                <w:rFonts w:ascii="仿宋_GB2312" w:hAnsi="仿宋" w:hint="eastAsia"/>
                <w:kern w:val="0"/>
                <w:sz w:val="28"/>
                <w:szCs w:val="28"/>
              </w:rPr>
              <w:t>学前教育</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2.1.1</w:t>
              </w:r>
            </w:smartTag>
            <w:r>
              <w:rPr>
                <w:rFonts w:ascii="仿宋_GB2312" w:hAnsi="仿宋" w:hint="eastAsia"/>
                <w:kern w:val="0"/>
                <w:sz w:val="28"/>
                <w:szCs w:val="28"/>
              </w:rPr>
              <w:t>省规范幼儿园达95%。</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1C63AF" w:rsidRDefault="001C63AF">
            <w:pPr>
              <w:widowControl/>
              <w:spacing w:line="400" w:lineRule="exact"/>
              <w:rPr>
                <w:rFonts w:ascii="仿宋_GB2312" w:hAnsi="仿宋"/>
                <w:kern w:val="0"/>
                <w:sz w:val="28"/>
                <w:szCs w:val="28"/>
              </w:rPr>
            </w:pP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市教育局、各县（区）人民政府（管委会）</w:t>
            </w:r>
          </w:p>
        </w:tc>
      </w:tr>
      <w:tr w:rsidR="001C63AF" w:rsidTr="001C63AF">
        <w:trPr>
          <w:trHeight w:val="97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b/>
                <w:bCs/>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2.1.2</w:t>
              </w:r>
            </w:smartTag>
            <w:r>
              <w:rPr>
                <w:rFonts w:ascii="仿宋_GB2312" w:hAnsi="仿宋" w:hint="eastAsia"/>
                <w:kern w:val="0"/>
                <w:sz w:val="28"/>
                <w:szCs w:val="28"/>
              </w:rPr>
              <w:t>公办幼儿园和普惠性民办幼儿园覆盖率达到80%。</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07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b/>
                <w:bCs/>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2.2</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义务教育</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2.2.1</w:t>
              </w:r>
            </w:smartTag>
            <w:r>
              <w:rPr>
                <w:rFonts w:ascii="仿宋_GB2312" w:hAnsi="仿宋" w:hint="eastAsia"/>
                <w:kern w:val="0"/>
                <w:sz w:val="28"/>
                <w:szCs w:val="28"/>
              </w:rPr>
              <w:t>义务教育阶段普通中小学校中公办标准化学校覆盖率100%。</w:t>
            </w:r>
          </w:p>
        </w:tc>
        <w:tc>
          <w:tcPr>
            <w:tcW w:w="3420" w:type="dxa"/>
            <w:tcBorders>
              <w:top w:val="single" w:sz="4" w:space="0" w:color="auto"/>
              <w:left w:val="single" w:sz="4" w:space="0" w:color="auto"/>
              <w:bottom w:val="single" w:sz="4" w:space="0" w:color="auto"/>
              <w:right w:val="single" w:sz="4" w:space="0" w:color="auto"/>
            </w:tcBorders>
            <w:vAlign w:val="center"/>
          </w:tcPr>
          <w:p w:rsidR="001C63AF" w:rsidRDefault="001C63AF">
            <w:pPr>
              <w:widowControl/>
              <w:spacing w:line="400" w:lineRule="exact"/>
              <w:rPr>
                <w:rFonts w:ascii="仿宋_GB2312" w:hAnsi="仿宋"/>
                <w:kern w:val="0"/>
                <w:sz w:val="28"/>
                <w:szCs w:val="28"/>
              </w:rPr>
            </w:pP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w:t>
            </w:r>
            <w:bookmarkStart w:id="3" w:name="OLE_LINK25"/>
            <w:r>
              <w:rPr>
                <w:rFonts w:ascii="仿宋_GB2312" w:hAnsi="仿宋" w:hint="eastAsia"/>
                <w:kern w:val="0"/>
                <w:sz w:val="28"/>
                <w:szCs w:val="28"/>
              </w:rPr>
              <w:t>市残联、市妇联、</w:t>
            </w:r>
            <w:bookmarkEnd w:id="3"/>
            <w:r>
              <w:rPr>
                <w:rFonts w:ascii="仿宋_GB2312" w:hAnsi="仿宋" w:hint="eastAsia"/>
                <w:kern w:val="0"/>
                <w:sz w:val="28"/>
                <w:szCs w:val="28"/>
              </w:rPr>
              <w:t>各县（区）人民政府（管委会）</w:t>
            </w:r>
          </w:p>
        </w:tc>
      </w:tr>
      <w:tr w:rsidR="001C63AF" w:rsidTr="001C63AF">
        <w:trPr>
          <w:trHeight w:val="73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b/>
                <w:bCs/>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2.2.2</w:t>
              </w:r>
            </w:smartTag>
            <w:r>
              <w:rPr>
                <w:rFonts w:ascii="仿宋_GB2312" w:hAnsi="仿宋" w:hint="eastAsia"/>
                <w:kern w:val="0"/>
                <w:sz w:val="28"/>
                <w:szCs w:val="28"/>
              </w:rPr>
              <w:t>义务教育阶段普通中小学校中民办标准化学校覆盖率70%以上(先进市复评时达100%)。</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未达100%的为C。</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569"/>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b/>
                <w:bCs/>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2.2.3</w:t>
              </w:r>
            </w:smartTag>
            <w:r>
              <w:rPr>
                <w:rFonts w:ascii="仿宋_GB2312" w:hAnsi="仿宋" w:hint="eastAsia"/>
                <w:kern w:val="0"/>
                <w:sz w:val="28"/>
                <w:szCs w:val="28"/>
              </w:rPr>
              <w:t>特殊教育学校门类齐全；随班就读残疾儿童学习康复得到帮助；专门（工读）教育学校转化学生成效显著。</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无特殊教育学校为C。</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2.</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条</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件</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2.3</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高中阶段教育</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2.3.1</w:t>
              </w:r>
            </w:smartTag>
            <w:r>
              <w:rPr>
                <w:rFonts w:ascii="仿宋_GB2312" w:hAnsi="仿宋" w:hint="eastAsia"/>
                <w:kern w:val="0"/>
                <w:sz w:val="28"/>
                <w:szCs w:val="28"/>
              </w:rPr>
              <w:t>优质普通高中学校占比达80%以上；公办省一级以上普通高中学校招生指标分配比例达到省的要求。</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70—79%为B。</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市教育局、市财政局、市住房和城乡规划建设局、各县（区）人民政府（管委会）</w:t>
            </w:r>
          </w:p>
        </w:tc>
      </w:tr>
      <w:tr w:rsidR="001C63AF" w:rsidTr="001C63AF">
        <w:trPr>
          <w:trHeight w:val="39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2.3.2</w:t>
              </w:r>
            </w:smartTag>
            <w:r>
              <w:rPr>
                <w:rFonts w:ascii="仿宋_GB2312" w:hAnsi="仿宋" w:hint="eastAsia"/>
                <w:kern w:val="0"/>
                <w:sz w:val="28"/>
                <w:szCs w:val="28"/>
              </w:rPr>
              <w:t>省级重点以上中等职校达80%；其中2所以上省级以上示范校。</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75—79%为B。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39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309" w:hanging="315"/>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2.3.3</w:t>
              </w:r>
            </w:smartTag>
            <w:r>
              <w:rPr>
                <w:rFonts w:ascii="仿宋_GB2312" w:hAnsi="仿宋" w:hint="eastAsia"/>
                <w:kern w:val="0"/>
                <w:sz w:val="28"/>
                <w:szCs w:val="28"/>
              </w:rPr>
              <w:t>建有2个或2个以上省级及以上职业教育实训中心(基地)。</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spacing w:val="-6"/>
                <w:kern w:val="0"/>
                <w:sz w:val="28"/>
                <w:szCs w:val="28"/>
              </w:rPr>
              <w:t>缺1个为B，缺2个为C。</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2.4</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kern w:val="0"/>
                <w:sz w:val="28"/>
                <w:szCs w:val="28"/>
              </w:rPr>
              <w:t>教育</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lastRenderedPageBreak/>
              <w:t>信息化</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lastRenderedPageBreak/>
                <w:t>2.4.1</w:t>
              </w:r>
            </w:smartTag>
            <w:r>
              <w:rPr>
                <w:rFonts w:ascii="仿宋_GB2312" w:hAnsi="仿宋" w:hint="eastAsia"/>
                <w:kern w:val="0"/>
                <w:sz w:val="28"/>
                <w:szCs w:val="28"/>
              </w:rPr>
              <w:t>推进教育信息化“三通两平台”工作有明显成效，90%的教师及初中以上学生拥有个人实名制的网</w:t>
            </w:r>
            <w:r>
              <w:rPr>
                <w:rFonts w:ascii="仿宋_GB2312" w:hAnsi="仿宋" w:hint="eastAsia"/>
                <w:kern w:val="0"/>
                <w:sz w:val="28"/>
                <w:szCs w:val="28"/>
              </w:rPr>
              <w:lastRenderedPageBreak/>
              <w:t>络学习空间。</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lastRenderedPageBreak/>
              <w:t>达到80%—89%为B。</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w:t>
            </w:r>
            <w:bookmarkStart w:id="4" w:name="OLE_LINK27"/>
            <w:r>
              <w:rPr>
                <w:rFonts w:ascii="仿宋_GB2312" w:hAnsi="仿宋" w:hint="eastAsia"/>
                <w:kern w:val="0"/>
                <w:sz w:val="28"/>
                <w:szCs w:val="28"/>
              </w:rPr>
              <w:t>市经济和信息化局、市财政局、</w:t>
            </w:r>
            <w:r>
              <w:rPr>
                <w:rFonts w:ascii="仿宋_GB2312" w:hAnsi="仿宋" w:hint="eastAsia"/>
                <w:kern w:val="0"/>
                <w:sz w:val="28"/>
                <w:szCs w:val="28"/>
              </w:rPr>
              <w:lastRenderedPageBreak/>
              <w:t>市人力资源和社会保障局、</w:t>
            </w:r>
            <w:bookmarkEnd w:id="4"/>
            <w:r>
              <w:rPr>
                <w:rFonts w:ascii="仿宋_GB2312" w:hAnsi="仿宋" w:hint="eastAsia"/>
                <w:kern w:val="0"/>
                <w:sz w:val="28"/>
                <w:szCs w:val="28"/>
              </w:rPr>
              <w:t>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2.4.2</w:t>
              </w:r>
            </w:smartTag>
            <w:r>
              <w:rPr>
                <w:rFonts w:ascii="仿宋_GB2312" w:hAnsi="仿宋" w:hint="eastAsia"/>
                <w:kern w:val="0"/>
                <w:sz w:val="28"/>
                <w:szCs w:val="28"/>
              </w:rPr>
              <w:t>中小学宽带接入比例达到100% ，城镇中小学拉入带宽不低于</w:t>
            </w:r>
            <w:smartTag w:uri="urn:schemas-microsoft-com:office:smarttags" w:element="chmetcnv">
              <w:smartTagPr>
                <w:attr w:name="TCSC" w:val="0"/>
                <w:attr w:name="NumberType" w:val="1"/>
                <w:attr w:name="Negative" w:val="False"/>
                <w:attr w:name="HasSpace" w:val="False"/>
                <w:attr w:name="SourceValue" w:val="500"/>
                <w:attr w:name="UnitName" w:val="m"/>
              </w:smartTagPr>
              <w:r>
                <w:rPr>
                  <w:rFonts w:ascii="仿宋_GB2312" w:hAnsi="仿宋" w:hint="eastAsia"/>
                  <w:kern w:val="0"/>
                  <w:sz w:val="28"/>
                  <w:szCs w:val="28"/>
                </w:rPr>
                <w:t>500M</w:t>
              </w:r>
            </w:smartTag>
            <w:r>
              <w:rPr>
                <w:rFonts w:ascii="仿宋_GB2312" w:hAnsi="仿宋" w:hint="eastAsia"/>
                <w:kern w:val="0"/>
                <w:sz w:val="28"/>
                <w:szCs w:val="28"/>
              </w:rPr>
              <w:t>，其他学校不低于</w:t>
            </w:r>
            <w:smartTag w:uri="urn:schemas-microsoft-com:office:smarttags" w:element="chmetcnv">
              <w:smartTagPr>
                <w:attr w:name="TCSC" w:val="0"/>
                <w:attr w:name="NumberType" w:val="1"/>
                <w:attr w:name="Negative" w:val="False"/>
                <w:attr w:name="HasSpace" w:val="False"/>
                <w:attr w:name="SourceValue" w:val="100"/>
                <w:attr w:name="UnitName" w:val="m"/>
              </w:smartTagPr>
              <w:r>
                <w:rPr>
                  <w:rFonts w:ascii="仿宋_GB2312" w:hAnsi="仿宋" w:hint="eastAsia"/>
                  <w:kern w:val="0"/>
                  <w:sz w:val="28"/>
                  <w:szCs w:val="28"/>
                </w:rPr>
                <w:t>100M</w:t>
              </w:r>
            </w:smartTag>
            <w:r>
              <w:rPr>
                <w:rFonts w:ascii="仿宋_GB2312" w:hAnsi="仿宋" w:hint="eastAsia"/>
                <w:kern w:val="0"/>
                <w:sz w:val="28"/>
                <w:szCs w:val="28"/>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达到90%—99%为B。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2.4.3</w:t>
              </w:r>
            </w:smartTag>
            <w:r>
              <w:rPr>
                <w:rFonts w:ascii="仿宋_GB2312" w:hAnsi="仿宋" w:hint="eastAsia"/>
                <w:kern w:val="0"/>
                <w:sz w:val="28"/>
                <w:szCs w:val="28"/>
              </w:rPr>
              <w:t>建成市级教育资源和教育管理公共服务平台；所有教学点实现数字教育资源全覆盖；资源共建共享机制健全，有明显成效。</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39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2.4.4  80%以上教师达到《中小学教师信息技术应用能力标准》。</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达到70%—79%为B。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2.4.5</w:t>
              </w:r>
            </w:smartTag>
            <w:r>
              <w:rPr>
                <w:rFonts w:ascii="仿宋_GB2312" w:hAnsi="仿宋" w:hint="eastAsia"/>
                <w:kern w:val="0"/>
                <w:sz w:val="28"/>
                <w:szCs w:val="28"/>
              </w:rPr>
              <w:t xml:space="preserve"> 信息技术应用创新活动参与面广，逐步形成了本地化的特色应用活动、品牌项目，有效推动了教育信息化的应用和普及。</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2181"/>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2.</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条</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件</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2.5</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教师队伍</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3" w:firstLine="23"/>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2.5.1</w:t>
              </w:r>
            </w:smartTag>
            <w:r>
              <w:rPr>
                <w:rFonts w:ascii="仿宋_GB2312" w:hAnsi="仿宋" w:hint="eastAsia"/>
                <w:kern w:val="0"/>
                <w:sz w:val="28"/>
                <w:szCs w:val="28"/>
              </w:rPr>
              <w:t>教师队伍整体水平高，管理制度完善，具有创新性，教师队伍充满活力，探索教师退出机制。</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w:t>
            </w:r>
            <w:bookmarkStart w:id="5" w:name="OLE_LINK28"/>
            <w:r>
              <w:rPr>
                <w:rFonts w:ascii="仿宋_GB2312" w:hAnsi="仿宋" w:hint="eastAsia"/>
                <w:kern w:val="0"/>
                <w:sz w:val="28"/>
                <w:szCs w:val="28"/>
              </w:rPr>
              <w:t>、市编办、</w:t>
            </w:r>
            <w:bookmarkEnd w:id="5"/>
            <w:r>
              <w:rPr>
                <w:rFonts w:ascii="仿宋_GB2312" w:hAnsi="仿宋" w:hint="eastAsia"/>
                <w:kern w:val="0"/>
                <w:sz w:val="28"/>
                <w:szCs w:val="28"/>
              </w:rPr>
              <w:t>市财政局、市人力资源和社会保障局、各县（区）人民政府（管委会）</w:t>
            </w:r>
          </w:p>
        </w:tc>
      </w:tr>
      <w:tr w:rsidR="001C63AF" w:rsidTr="001C63AF">
        <w:trPr>
          <w:trHeight w:val="2981"/>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2.5.2</w:t>
              </w:r>
            </w:smartTag>
            <w:r>
              <w:rPr>
                <w:rFonts w:ascii="仿宋_GB2312" w:hAnsi="仿宋" w:hint="eastAsia"/>
                <w:kern w:val="0"/>
                <w:sz w:val="28"/>
                <w:szCs w:val="28"/>
              </w:rPr>
              <w:t>幼儿园专任教师大专以上学历、小学专任教师本科以上学历的比例均达70%；初中专任教师本科率达90%以上；普通高中和中等职业学校教师研究生学历或硕士学位以上比例达到15%以上，中等职业学校双师型专任专业课教师比例在60%以上。</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spacing w:val="-10"/>
                <w:kern w:val="0"/>
                <w:sz w:val="28"/>
                <w:szCs w:val="28"/>
              </w:rPr>
              <w:t>达到省定标准。</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268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3" w:firstLine="23"/>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2.5.3</w:t>
              </w:r>
            </w:smartTag>
            <w:r>
              <w:rPr>
                <w:rFonts w:ascii="仿宋_GB2312" w:hAnsi="仿宋" w:hint="eastAsia"/>
                <w:kern w:val="0"/>
                <w:sz w:val="28"/>
                <w:szCs w:val="28"/>
              </w:rPr>
              <w:t>建立名教师、名班主任、名校长培养培训体系，制度完善，培养一批在国内有一定影响力的名教师、名班主任、名校长。</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79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360" w:lineRule="exact"/>
              <w:jc w:val="center"/>
              <w:rPr>
                <w:rFonts w:ascii="仿宋_GB2312" w:hAnsi="仿宋"/>
                <w:kern w:val="0"/>
                <w:sz w:val="28"/>
                <w:szCs w:val="28"/>
              </w:rPr>
            </w:pPr>
            <w:r>
              <w:rPr>
                <w:rFonts w:ascii="仿宋_GB2312" w:hAnsi="仿宋" w:hint="eastAsia"/>
                <w:b/>
                <w:bCs/>
                <w:kern w:val="0"/>
                <w:sz w:val="28"/>
                <w:szCs w:val="28"/>
              </w:rPr>
              <w:t>2.</w:t>
            </w:r>
          </w:p>
          <w:p w:rsidR="001C63AF" w:rsidRDefault="001C63AF">
            <w:pPr>
              <w:widowControl/>
              <w:spacing w:line="36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36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360" w:lineRule="exact"/>
              <w:jc w:val="center"/>
              <w:rPr>
                <w:rFonts w:ascii="仿宋_GB2312" w:hAnsi="仿宋" w:hint="eastAsia"/>
                <w:kern w:val="0"/>
                <w:sz w:val="28"/>
                <w:szCs w:val="28"/>
              </w:rPr>
            </w:pPr>
            <w:r>
              <w:rPr>
                <w:rFonts w:ascii="仿宋_GB2312" w:hAnsi="仿宋" w:hint="eastAsia"/>
                <w:b/>
                <w:bCs/>
                <w:kern w:val="0"/>
                <w:sz w:val="28"/>
                <w:szCs w:val="28"/>
              </w:rPr>
              <w:t>条</w:t>
            </w:r>
          </w:p>
          <w:p w:rsidR="001C63AF" w:rsidRDefault="001C63AF">
            <w:pPr>
              <w:widowControl/>
              <w:spacing w:line="360" w:lineRule="exact"/>
              <w:jc w:val="center"/>
              <w:rPr>
                <w:rFonts w:ascii="仿宋_GB2312" w:hAnsi="仿宋"/>
                <w:kern w:val="0"/>
                <w:sz w:val="28"/>
                <w:szCs w:val="28"/>
              </w:rPr>
            </w:pPr>
            <w:r>
              <w:rPr>
                <w:rFonts w:ascii="仿宋_GB2312" w:hAnsi="仿宋" w:hint="eastAsia"/>
                <w:b/>
                <w:bCs/>
                <w:kern w:val="0"/>
                <w:sz w:val="28"/>
                <w:szCs w:val="28"/>
              </w:rPr>
              <w:lastRenderedPageBreak/>
              <w:t>件</w:t>
            </w: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360" w:lineRule="exact"/>
              <w:jc w:val="center"/>
              <w:rPr>
                <w:rFonts w:ascii="仿宋_GB2312" w:hAnsi="仿宋"/>
                <w:kern w:val="0"/>
                <w:sz w:val="28"/>
                <w:szCs w:val="28"/>
              </w:rPr>
            </w:pPr>
            <w:r>
              <w:rPr>
                <w:rFonts w:ascii="仿宋_GB2312" w:hAnsi="仿宋" w:hint="eastAsia"/>
                <w:kern w:val="0"/>
                <w:sz w:val="28"/>
                <w:szCs w:val="28"/>
              </w:rPr>
              <w:lastRenderedPageBreak/>
              <w:t>2.6社会公共教育</w:t>
            </w:r>
            <w:r>
              <w:rPr>
                <w:rFonts w:ascii="仿宋_GB2312" w:hAnsi="仿宋" w:hint="eastAsia"/>
                <w:kern w:val="0"/>
                <w:sz w:val="28"/>
                <w:szCs w:val="28"/>
              </w:rPr>
              <w:lastRenderedPageBreak/>
              <w:t>设施</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lastRenderedPageBreak/>
                <w:t>2.6.1</w:t>
              </w:r>
            </w:smartTag>
            <w:r>
              <w:rPr>
                <w:rFonts w:ascii="仿宋_GB2312" w:hAnsi="仿宋" w:hint="eastAsia"/>
                <w:kern w:val="0"/>
                <w:sz w:val="28"/>
                <w:szCs w:val="28"/>
              </w:rPr>
              <w:t>图书馆、博物馆、科学馆、美术馆、青少年宫、文化宫、体育中心、学生综合实践基地等覆盖全市，满足需求；在推进素质教育、培养青少年全面发展工作中发挥积极作用。</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spacing w:val="-6"/>
                <w:kern w:val="0"/>
                <w:sz w:val="28"/>
                <w:szCs w:val="28"/>
              </w:rPr>
              <w:t>缺2个为B；1个县（市区）无青少年宫为C；无市级学生综合实践基地为C。</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市住房和城乡规划建设局、市教育局、市财政局、各县（区）人民政府（管委会）</w:t>
            </w:r>
          </w:p>
        </w:tc>
      </w:tr>
      <w:tr w:rsidR="001C63AF" w:rsidTr="001C63AF">
        <w:trPr>
          <w:trHeight w:val="567"/>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lastRenderedPageBreak/>
              <w:t>3.</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管</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理</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与</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改</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革</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3.1</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法制保障</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3.1.1</w:t>
              </w:r>
            </w:smartTag>
            <w:r>
              <w:rPr>
                <w:rFonts w:ascii="仿宋_GB2312" w:hAnsi="仿宋" w:hint="eastAsia"/>
                <w:kern w:val="0"/>
                <w:sz w:val="28"/>
                <w:szCs w:val="28"/>
              </w:rPr>
              <w:t>扎实推进依法治校，学校基本实现“一校一章程、一校一法律顾问”。</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w:t>
            </w:r>
            <w:bookmarkStart w:id="6" w:name="OLE_LINK30"/>
            <w:r>
              <w:rPr>
                <w:rFonts w:ascii="仿宋_GB2312" w:hAnsi="仿宋" w:hint="eastAsia"/>
                <w:kern w:val="0"/>
                <w:sz w:val="28"/>
                <w:szCs w:val="28"/>
              </w:rPr>
              <w:t>市司法局、</w:t>
            </w:r>
            <w:bookmarkEnd w:id="6"/>
            <w:r>
              <w:rPr>
                <w:rFonts w:ascii="仿宋_GB2312" w:hAnsi="仿宋" w:hint="eastAsia"/>
                <w:kern w:val="0"/>
                <w:sz w:val="28"/>
                <w:szCs w:val="28"/>
              </w:rPr>
              <w:t>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3.1.2</w:t>
              </w:r>
            </w:smartTag>
            <w:r>
              <w:rPr>
                <w:rFonts w:ascii="仿宋_GB2312" w:hAnsi="仿宋" w:hint="eastAsia"/>
                <w:kern w:val="0"/>
                <w:sz w:val="28"/>
                <w:szCs w:val="28"/>
              </w:rPr>
              <w:t>各级教育行政部门依法行政，严格执法主体，规范执法。</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3.1.3</w:t>
              </w:r>
            </w:smartTag>
            <w:r>
              <w:rPr>
                <w:rFonts w:ascii="仿宋_GB2312" w:hAnsi="仿宋" w:hint="eastAsia"/>
                <w:kern w:val="0"/>
                <w:sz w:val="28"/>
                <w:szCs w:val="28"/>
              </w:rPr>
              <w:t>教育普法工作有规划、有措施、有总结，全体教师每年至少参加一次专门的学法培训。</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3.2</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规范办学行为</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3.2.1</w:t>
              </w:r>
            </w:smartTag>
            <w:r>
              <w:rPr>
                <w:rFonts w:ascii="仿宋_GB2312" w:hAnsi="仿宋" w:hint="eastAsia"/>
                <w:kern w:val="0"/>
                <w:sz w:val="28"/>
                <w:szCs w:val="28"/>
              </w:rPr>
              <w:t>严格执行省定课程计划，开齐开足课程；中小学生课业负担合理，无违规集体补课现象；义务教育阶段不设重点学校和重点班。</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3.2.2</w:t>
              </w:r>
            </w:smartTag>
            <w:r>
              <w:rPr>
                <w:rFonts w:ascii="仿宋_GB2312" w:hAnsi="仿宋" w:hint="eastAsia"/>
                <w:kern w:val="0"/>
                <w:sz w:val="28"/>
                <w:szCs w:val="28"/>
              </w:rPr>
              <w:t>完善义务教育就近入学制度；公办义务教育学校实行就近免试入学，民办学校自主、合理设置招生范围。</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3.2.3</w:t>
              </w:r>
            </w:smartTag>
            <w:r>
              <w:rPr>
                <w:rFonts w:ascii="仿宋_GB2312" w:hAnsi="仿宋" w:hint="eastAsia"/>
                <w:kern w:val="0"/>
                <w:sz w:val="28"/>
                <w:szCs w:val="28"/>
              </w:rPr>
              <w:t>重视做好校园安全防范工作，近2年全市学校没有发生1次死亡3人以上校园安全责任事故。</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w:t>
            </w:r>
            <w:bookmarkStart w:id="7" w:name="OLE_LINK31"/>
            <w:r>
              <w:rPr>
                <w:rFonts w:ascii="仿宋_GB2312" w:hAnsi="仿宋" w:hint="eastAsia"/>
                <w:kern w:val="0"/>
                <w:sz w:val="28"/>
                <w:szCs w:val="28"/>
              </w:rPr>
              <w:t>市公安局、</w:t>
            </w:r>
            <w:bookmarkEnd w:id="7"/>
            <w:r>
              <w:rPr>
                <w:rFonts w:ascii="仿宋_GB2312" w:hAnsi="仿宋" w:hint="eastAsia"/>
                <w:kern w:val="0"/>
                <w:sz w:val="28"/>
                <w:szCs w:val="28"/>
              </w:rPr>
              <w:t>各县（区）人民政府（管委会）</w:t>
            </w:r>
          </w:p>
        </w:tc>
      </w:tr>
      <w:tr w:rsidR="001C63AF" w:rsidTr="001C63AF">
        <w:trPr>
          <w:trHeight w:val="2481"/>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lastRenderedPageBreak/>
              <w:t>3.</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管</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理</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与</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改</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革</w:t>
            </w: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3.3</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教育督导</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3.3.1</w:t>
              </w:r>
            </w:smartTag>
            <w:r>
              <w:rPr>
                <w:rFonts w:ascii="仿宋_GB2312" w:hAnsi="仿宋" w:hint="eastAsia"/>
                <w:kern w:val="0"/>
                <w:sz w:val="28"/>
                <w:szCs w:val="28"/>
              </w:rPr>
              <w:t>建立完善决策、执行、监督相结合的教育行政运行机制，扎实推进依法治教工作；市人民政府教育督导机构健全，配足配强专职督导人员，落实教育督导专项经费，全面实施督学责任区和中小学挂牌督导制度。</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市教育局、市财政局、各县（区）人民政府（管委会）</w:t>
            </w:r>
          </w:p>
        </w:tc>
      </w:tr>
      <w:tr w:rsidR="001C63AF" w:rsidTr="001C63AF">
        <w:trPr>
          <w:trHeight w:val="328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3.4</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教育改革</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3.4.1</w:t>
              </w:r>
            </w:smartTag>
            <w:r>
              <w:rPr>
                <w:rFonts w:ascii="仿宋_GB2312" w:hAnsi="仿宋" w:hint="eastAsia"/>
                <w:kern w:val="0"/>
                <w:sz w:val="28"/>
                <w:szCs w:val="28"/>
              </w:rPr>
              <w:t>落实素质教育，加强德育工作，把培育和践行社会主义核心价值观融入课堂教学、社会实践、校园文化、学校管理全过程，形成“爱学习、爱劳动、爱祖国”教育活动和中华优秀传统文化教育的有效形式；重视中小学生安全教育和心理健康教育，教育时间有保证，开展学期初与学期末的安全教育周活动，采取积极措施排除学生心理障碍。</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市教育局、各县（区）人民政府（管委会）</w:t>
            </w:r>
          </w:p>
        </w:tc>
      </w:tr>
      <w:tr w:rsidR="001C63AF" w:rsidTr="001C63AF">
        <w:trPr>
          <w:trHeight w:val="208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3.4.2</w:t>
              </w:r>
            </w:smartTag>
            <w:r>
              <w:rPr>
                <w:rFonts w:ascii="仿宋_GB2312" w:hAnsi="仿宋" w:hint="eastAsia"/>
                <w:kern w:val="0"/>
                <w:sz w:val="28"/>
                <w:szCs w:val="28"/>
              </w:rPr>
              <w:t>不断深化教学改革，探索面向全体学生的高效课堂教学，积极探索启发式、探究式、参与式等教学模式，激发学生学习兴趣，培养良好学习习惯；教学研究工作扎实开展。</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市教育局、各县（区）人民政府（管委会）</w:t>
            </w:r>
          </w:p>
        </w:tc>
      </w:tr>
      <w:tr w:rsidR="001C63AF" w:rsidTr="001C63AF">
        <w:trPr>
          <w:trHeight w:val="1582"/>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4.</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经</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费</w:t>
            </w: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4.1</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经费投入</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4.1.1</w:t>
              </w:r>
            </w:smartTag>
            <w:r>
              <w:rPr>
                <w:rFonts w:ascii="仿宋_GB2312" w:hAnsi="仿宋" w:hint="eastAsia"/>
                <w:kern w:val="0"/>
                <w:sz w:val="28"/>
                <w:szCs w:val="28"/>
              </w:rPr>
              <w:t>全市及市本级教育财政拨款的增长比例连续三年高于财政经常性收入的增长比例。</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市财政局、市教育局、各县（区）人民政府（管委会）</w:t>
            </w:r>
          </w:p>
        </w:tc>
      </w:tr>
      <w:tr w:rsidR="001C63AF" w:rsidTr="001C63AF">
        <w:trPr>
          <w:trHeight w:val="148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4.2</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经费管理</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4.2.1</w:t>
              </w:r>
            </w:smartTag>
            <w:r>
              <w:rPr>
                <w:rFonts w:ascii="仿宋_GB2312" w:hAnsi="仿宋" w:hint="eastAsia"/>
                <w:kern w:val="0"/>
                <w:sz w:val="28"/>
                <w:szCs w:val="28"/>
              </w:rPr>
              <w:t>全市小学、初中、普通高中、中等职业学校和市属普通高校生均公共财政预算教育事业费支出逐步提高。</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47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4.2.2</w:t>
              </w:r>
            </w:smartTag>
            <w:r>
              <w:rPr>
                <w:rFonts w:ascii="仿宋_GB2312" w:hAnsi="仿宋" w:hint="eastAsia"/>
                <w:kern w:val="0"/>
                <w:sz w:val="28"/>
                <w:szCs w:val="28"/>
              </w:rPr>
              <w:t>全市小学、初中、普通高中、中等职业学校和市属普通高校生均公共财政预算教育公用经费支出逐年提高。</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50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4.2.3</w:t>
              </w:r>
            </w:smartTag>
            <w:r>
              <w:rPr>
                <w:rFonts w:ascii="仿宋_GB2312" w:hAnsi="仿宋" w:hint="eastAsia"/>
                <w:kern w:val="0"/>
                <w:sz w:val="28"/>
                <w:szCs w:val="28"/>
              </w:rPr>
              <w:t>教师工资福利待遇不低于当地公务员工资福利待遇（两相当）；按不低于教师工资总额1.5%的比例安排教师培训专项经费。</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spacing w:val="-12"/>
                <w:kern w:val="0"/>
                <w:sz w:val="28"/>
                <w:szCs w:val="28"/>
              </w:rPr>
              <w:t>教师工资福利待遇做不到“两相当”为C。</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478"/>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4.2.4</w:t>
              </w:r>
            </w:smartTag>
            <w:r>
              <w:rPr>
                <w:rFonts w:ascii="仿宋_GB2312" w:hAnsi="仿宋" w:hint="eastAsia"/>
                <w:kern w:val="0"/>
                <w:sz w:val="28"/>
                <w:szCs w:val="28"/>
              </w:rPr>
              <w:t>严格执行教育收费规定，近1年没有发生教育乱收费问题。</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市教育局、市发展和改革局、各县（区）人民政府（管委会）</w:t>
            </w:r>
          </w:p>
        </w:tc>
      </w:tr>
      <w:tr w:rsidR="001C63AF" w:rsidTr="001C63AF">
        <w:trPr>
          <w:trHeight w:val="567"/>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5.</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发</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展</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水</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平</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5.1</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普及程度</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5.1.1</w:t>
              </w:r>
            </w:smartTag>
            <w:r>
              <w:rPr>
                <w:rFonts w:ascii="仿宋_GB2312" w:hAnsi="仿宋" w:hint="eastAsia"/>
                <w:kern w:val="0"/>
                <w:sz w:val="28"/>
                <w:szCs w:val="28"/>
              </w:rPr>
              <w:t>学前三年毛入园率达98%以上。</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90—97%为B。</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5.1.2</w:t>
              </w:r>
            </w:smartTag>
            <w:r>
              <w:rPr>
                <w:rFonts w:ascii="仿宋_GB2312" w:hAnsi="仿宋" w:hint="eastAsia"/>
                <w:kern w:val="0"/>
                <w:sz w:val="28"/>
                <w:szCs w:val="28"/>
              </w:rPr>
              <w:t>高中教育阶段毛入学率达95%以上，普职比大体相当。</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85—94%为B。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5.1.3</w:t>
              </w:r>
            </w:smartTag>
            <w:r>
              <w:rPr>
                <w:rFonts w:ascii="仿宋_GB2312" w:hAnsi="仿宋" w:hint="eastAsia"/>
                <w:kern w:val="0"/>
                <w:sz w:val="28"/>
                <w:szCs w:val="28"/>
              </w:rPr>
              <w:t>每万人口市属高校全日制在校生人数逐年提高；有国家或省立项重点建设的学科专业。</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没提高或没有重点专业为B。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88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5.2</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人力资源水平</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5.2.1</w:t>
              </w:r>
            </w:smartTag>
            <w:r>
              <w:rPr>
                <w:rFonts w:ascii="仿宋_GB2312" w:hAnsi="仿宋" w:hint="eastAsia"/>
                <w:kern w:val="0"/>
                <w:sz w:val="28"/>
                <w:szCs w:val="28"/>
              </w:rPr>
              <w:t>新增劳动力平均受教育年限达14年；其中高中以上教育占95%以上。</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12—13年为B；</w:t>
            </w:r>
          </w:p>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90—94%为Ｂ。</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市教育局、市人力资源和社会保障局、各县（区）人民政府（管委会）</w:t>
            </w:r>
          </w:p>
        </w:tc>
      </w:tr>
      <w:tr w:rsidR="001C63AF" w:rsidTr="001C63AF">
        <w:trPr>
          <w:trHeight w:val="959"/>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3" w:hanging="23"/>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5.2.2</w:t>
              </w:r>
            </w:smartTag>
            <w:r>
              <w:rPr>
                <w:rFonts w:ascii="仿宋_GB2312" w:hAnsi="仿宋" w:hint="eastAsia"/>
                <w:kern w:val="0"/>
                <w:sz w:val="28"/>
                <w:szCs w:val="28"/>
              </w:rPr>
              <w:t>主要劳动力年龄人口平均受教育年限达11.5年；其中高等教育占20%以上。</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9—11年为B；</w:t>
            </w:r>
          </w:p>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15—19%为B。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34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5.3</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教育质量</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5.3.1</w:t>
              </w:r>
            </w:smartTag>
            <w:r>
              <w:rPr>
                <w:rFonts w:ascii="仿宋_GB2312" w:hAnsi="仿宋" w:hint="eastAsia"/>
                <w:kern w:val="0"/>
                <w:sz w:val="28"/>
                <w:szCs w:val="28"/>
              </w:rPr>
              <w:t>建立符合规律有特色的中小学德育体系。德育形式内容丰富。德育工作针对性、实效性强。重视德育队伍建设。</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市教育局、各县（区）人民政府（管委会）</w:t>
            </w:r>
          </w:p>
        </w:tc>
      </w:tr>
      <w:tr w:rsidR="001C63AF" w:rsidTr="001C63AF">
        <w:trPr>
          <w:trHeight w:val="1801"/>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5.3.2</w:t>
              </w:r>
            </w:smartTag>
            <w:r>
              <w:rPr>
                <w:rFonts w:ascii="仿宋_GB2312" w:hAnsi="仿宋" w:hint="eastAsia"/>
                <w:kern w:val="0"/>
                <w:sz w:val="28"/>
                <w:szCs w:val="28"/>
              </w:rPr>
              <w:t>明确“健康第一”的培养目标，确保学生每天锻炼一小时；广泛开展体育、艺术“2+</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hAnsi="仿宋" w:hint="eastAsia"/>
                  <w:kern w:val="0"/>
                  <w:sz w:val="28"/>
                  <w:szCs w:val="28"/>
                </w:rPr>
                <w:t>1”</w:t>
              </w:r>
            </w:smartTag>
            <w:r>
              <w:rPr>
                <w:rFonts w:ascii="仿宋_GB2312" w:hAnsi="仿宋" w:hint="eastAsia"/>
                <w:kern w:val="0"/>
                <w:sz w:val="28"/>
                <w:szCs w:val="28"/>
              </w:rPr>
              <w:t>项目；《国家学生体质健康标准》优良率：2014年达到70%，2015年达80%，2018年达到85%。</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spacing w:val="-2"/>
                <w:kern w:val="0"/>
                <w:sz w:val="28"/>
                <w:szCs w:val="28"/>
              </w:rPr>
              <w:t>2014年达到50—69%为B，2015年达到60—79%为B，2018年达到达到80—84%为B。其余要素根据考察评定。</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5.3.3</w:t>
              </w:r>
            </w:smartTag>
            <w:r>
              <w:rPr>
                <w:rFonts w:ascii="仿宋_GB2312" w:hAnsi="仿宋" w:hint="eastAsia"/>
                <w:kern w:val="0"/>
                <w:sz w:val="28"/>
                <w:szCs w:val="28"/>
              </w:rPr>
              <w:t>初中毕业生升学率95%达以上。</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92—94%为Ｂ。</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384"/>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5.</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发</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展</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水</w:t>
            </w:r>
          </w:p>
          <w:p w:rsidR="001C63AF" w:rsidRDefault="001C63AF">
            <w:pPr>
              <w:widowControl/>
              <w:spacing w:line="400" w:lineRule="exact"/>
              <w:ind w:firstLine="206"/>
              <w:jc w:val="left"/>
              <w:rPr>
                <w:rFonts w:ascii="仿宋_GB2312" w:hAnsi="仿宋"/>
                <w:kern w:val="0"/>
                <w:sz w:val="28"/>
                <w:szCs w:val="28"/>
              </w:rPr>
            </w:pPr>
            <w:r>
              <w:rPr>
                <w:rFonts w:ascii="仿宋_GB2312" w:hAnsi="仿宋" w:hint="eastAsia"/>
                <w:b/>
                <w:bCs/>
                <w:kern w:val="0"/>
                <w:sz w:val="28"/>
                <w:szCs w:val="28"/>
              </w:rPr>
              <w:t>平</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5.3</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教育质量</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5.3.4</w:t>
              </w:r>
            </w:smartTag>
            <w:r>
              <w:rPr>
                <w:rFonts w:ascii="仿宋_GB2312" w:hAnsi="仿宋" w:hint="eastAsia"/>
                <w:kern w:val="0"/>
                <w:sz w:val="28"/>
                <w:szCs w:val="28"/>
              </w:rPr>
              <w:t>普通高中毕业生升学率90%达以上。</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80—89%为B。</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5.3.5</w:t>
              </w:r>
            </w:smartTag>
            <w:r>
              <w:rPr>
                <w:rFonts w:ascii="仿宋_GB2312" w:hAnsi="仿宋" w:hint="eastAsia"/>
                <w:kern w:val="0"/>
                <w:sz w:val="28"/>
                <w:szCs w:val="28"/>
              </w:rPr>
              <w:t>中职教育已开考专业双证率达98%以上；初次就业率98%以上；高中学业水平考试成绩C级以上比例达85%以上。</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90—97%为B；</w:t>
            </w:r>
          </w:p>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80-84%为B。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5.3.6</w:t>
              </w:r>
            </w:smartTag>
            <w:r>
              <w:rPr>
                <w:rFonts w:ascii="仿宋_GB2312" w:hAnsi="仿宋" w:hint="eastAsia"/>
                <w:kern w:val="0"/>
                <w:sz w:val="28"/>
                <w:szCs w:val="28"/>
              </w:rPr>
              <w:t>高校应届毕业生初次就业率达90%。</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75—89%为B。</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市人力资源和社会保障局、各县（区）人民政府（管委会）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5.4</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lastRenderedPageBreak/>
              <w:t>国民教育</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lastRenderedPageBreak/>
                <w:t>5.4.1</w:t>
              </w:r>
            </w:smartTag>
            <w:r>
              <w:rPr>
                <w:rFonts w:ascii="仿宋_GB2312" w:hAnsi="仿宋" w:hint="eastAsia"/>
                <w:kern w:val="0"/>
                <w:sz w:val="28"/>
                <w:szCs w:val="28"/>
              </w:rPr>
              <w:t>学前教育、义务教育（特殊教育）、高中阶段</w:t>
            </w:r>
            <w:r>
              <w:rPr>
                <w:rFonts w:ascii="仿宋_GB2312" w:hAnsi="仿宋" w:hint="eastAsia"/>
                <w:kern w:val="0"/>
                <w:sz w:val="28"/>
                <w:szCs w:val="28"/>
              </w:rPr>
              <w:lastRenderedPageBreak/>
              <w:t>教育、高等教育等，体系完整，规模适当，比例适合，满足需求。</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lastRenderedPageBreak/>
              <w:t>根据考察评定等级。</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市教育局、市人力资</w:t>
            </w:r>
            <w:r>
              <w:rPr>
                <w:rFonts w:ascii="仿宋_GB2312" w:hAnsi="仿宋" w:hint="eastAsia"/>
                <w:kern w:val="0"/>
                <w:sz w:val="28"/>
                <w:szCs w:val="28"/>
              </w:rPr>
              <w:lastRenderedPageBreak/>
              <w:t>源和社会保障局、</w:t>
            </w:r>
            <w:bookmarkStart w:id="8" w:name="OLE_LINK32"/>
            <w:r>
              <w:rPr>
                <w:rFonts w:ascii="仿宋_GB2312" w:hAnsi="仿宋" w:hint="eastAsia"/>
                <w:kern w:val="0"/>
                <w:sz w:val="28"/>
                <w:szCs w:val="28"/>
              </w:rPr>
              <w:t>市民政局、市财政局、市住房和城乡规划建设局、市人口和计划生育局、</w:t>
            </w:r>
            <w:bookmarkEnd w:id="8"/>
            <w:r>
              <w:rPr>
                <w:rFonts w:ascii="仿宋_GB2312" w:hAnsi="仿宋" w:hint="eastAsia"/>
                <w:kern w:val="0"/>
                <w:sz w:val="28"/>
                <w:szCs w:val="28"/>
              </w:rPr>
              <w:t>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5.5</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终身教育</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5.5.1</w:t>
              </w:r>
            </w:smartTag>
            <w:r>
              <w:rPr>
                <w:rFonts w:ascii="仿宋_GB2312" w:hAnsi="仿宋" w:hint="eastAsia"/>
                <w:kern w:val="0"/>
                <w:sz w:val="28"/>
                <w:szCs w:val="28"/>
              </w:rPr>
              <w:t>初步构建与当地经济社会发展相适应的现代职业教育体系完善。</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spacing w:val="-4"/>
                  <w:kern w:val="0"/>
                  <w:sz w:val="28"/>
                  <w:szCs w:val="28"/>
                </w:rPr>
                <w:t>5.5.2</w:t>
              </w:r>
            </w:smartTag>
            <w:r>
              <w:rPr>
                <w:rFonts w:ascii="仿宋_GB2312" w:hAnsi="仿宋" w:hint="eastAsia"/>
                <w:spacing w:val="-4"/>
                <w:kern w:val="0"/>
                <w:sz w:val="28"/>
                <w:szCs w:val="28"/>
              </w:rPr>
              <w:t>成人教育、社区教育、远程教育多元化发展，学习型社会建设成效显著；积极创建国家级、省级社区教育实验区，建立健全社区教育统筹管理体制和工作机制，落实经费保障政策和人员配备，建成市、县（区）、街道（乡镇）、居（村）四级社区教育网络，80%以上社区建有社区教育（文化、艺术及娱乐）中心，每年接受社区教育的社区成员占全体成员的比例达50%以上</w:t>
            </w:r>
            <w:r>
              <w:rPr>
                <w:rFonts w:ascii="仿宋_GB2312" w:hAnsi="仿宋" w:hint="eastAsia"/>
                <w:kern w:val="0"/>
                <w:sz w:val="28"/>
                <w:szCs w:val="28"/>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60%以上社区建有社区教育（文化、艺术及娱乐）中心，每年接受社区教育的社区成员占全体成员的比例达30%以上为B。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582"/>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5.</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lastRenderedPageBreak/>
              <w:t>发</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展</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水</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平</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lastRenderedPageBreak/>
              <w:t>5.6教育科研</w:t>
            </w:r>
            <w:r>
              <w:rPr>
                <w:rFonts w:ascii="仿宋_GB2312" w:hAnsi="仿宋" w:hint="eastAsia"/>
                <w:kern w:val="0"/>
                <w:sz w:val="28"/>
                <w:szCs w:val="28"/>
              </w:rPr>
              <w:lastRenderedPageBreak/>
              <w:t>水平</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3" w:firstLine="23"/>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lastRenderedPageBreak/>
                <w:t>5.6.1</w:t>
              </w:r>
            </w:smartTag>
            <w:r>
              <w:rPr>
                <w:rFonts w:ascii="仿宋_GB2312" w:hAnsi="仿宋" w:hint="eastAsia"/>
                <w:kern w:val="0"/>
                <w:sz w:val="28"/>
                <w:szCs w:val="28"/>
              </w:rPr>
              <w:t>制定全市教育科研中长期发展规划，有切实可行的举措，能按规划开展年度工作，执行情况良好；市级教育科研经费投入逐年增加。</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市教育局、市财政局</w:t>
            </w:r>
          </w:p>
        </w:tc>
      </w:tr>
      <w:tr w:rsidR="001C63AF" w:rsidTr="001C63AF">
        <w:trPr>
          <w:trHeight w:val="268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5.6.2</w:t>
              </w:r>
            </w:smartTag>
            <w:r>
              <w:rPr>
                <w:rFonts w:ascii="仿宋_GB2312" w:hAnsi="仿宋" w:hint="eastAsia"/>
                <w:kern w:val="0"/>
                <w:sz w:val="28"/>
                <w:szCs w:val="28"/>
              </w:rPr>
              <w:t>形成浓厚的教育科研氛围，近三年获省级以上教育科研课题的年度立项数逐年增加，近三年获省级教育科研重点课题3项以上；科研成果显著，在省内具有较大影响力，近五年获得省部级成果奖不少于5项。</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3288"/>
        </w:trPr>
        <w:tc>
          <w:tcPr>
            <w:tcW w:w="79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lastRenderedPageBreak/>
              <w:t>6.</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公</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平</w:t>
            </w: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6.1</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区际义务教育均衡发展系数</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6.1.1</w:t>
              </w:r>
            </w:smartTag>
            <w:r>
              <w:rPr>
                <w:rFonts w:ascii="仿宋_GB2312" w:hAnsi="仿宋" w:hint="eastAsia"/>
                <w:kern w:val="0"/>
                <w:sz w:val="28"/>
                <w:szCs w:val="28"/>
              </w:rPr>
              <w:t>各县均达到国家义务教育发展基本均衡县要求；县级政府推进义务教育均衡发展工作评估得分在90分以上、小学和初中的差异系数分别小于0.5。</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各县的县区级政府推进义务教育均衡发展工作评估得分在90分以上，同时小学综合差异系数≥0.5且＜0.65、初中综合差异系数≥0.5且＜0.55的，评定为B。</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市教育局、各县（区）人民政府（管委会）</w:t>
            </w:r>
          </w:p>
        </w:tc>
      </w:tr>
      <w:tr w:rsidR="001C63AF" w:rsidTr="001C63AF">
        <w:trPr>
          <w:trHeight w:val="983"/>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6.</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lastRenderedPageBreak/>
              <w:t>育</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公</w:t>
            </w:r>
          </w:p>
          <w:p w:rsidR="001C63AF" w:rsidRDefault="001C63AF">
            <w:pPr>
              <w:widowControl/>
              <w:spacing w:line="400" w:lineRule="exact"/>
              <w:jc w:val="center"/>
              <w:rPr>
                <w:rFonts w:ascii="仿宋_GB2312" w:hAnsi="仿宋"/>
                <w:kern w:val="0"/>
                <w:sz w:val="28"/>
                <w:szCs w:val="28"/>
              </w:rPr>
            </w:pPr>
            <w:r>
              <w:rPr>
                <w:rFonts w:ascii="仿宋_GB2312" w:hAnsi="仿宋" w:hint="eastAsia"/>
                <w:b/>
                <w:bCs/>
                <w:kern w:val="0"/>
                <w:sz w:val="28"/>
                <w:szCs w:val="28"/>
              </w:rPr>
              <w:t>平</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lastRenderedPageBreak/>
              <w:t>6.2</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义务</w:t>
            </w:r>
            <w:r>
              <w:rPr>
                <w:rFonts w:ascii="仿宋_GB2312" w:hAnsi="仿宋" w:hint="eastAsia"/>
                <w:kern w:val="0"/>
                <w:sz w:val="28"/>
                <w:szCs w:val="28"/>
              </w:rPr>
              <w:lastRenderedPageBreak/>
              <w:t>教育阶段学生入学机会</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lastRenderedPageBreak/>
                <w:t>6.2.1</w:t>
              </w:r>
            </w:smartTag>
            <w:r>
              <w:rPr>
                <w:rFonts w:ascii="仿宋_GB2312" w:hAnsi="仿宋" w:hint="eastAsia"/>
                <w:kern w:val="0"/>
                <w:sz w:val="28"/>
                <w:szCs w:val="28"/>
              </w:rPr>
              <w:t>将进城务工人员随迁子女就学纳入当地教育发展规划，纳入财政保障体系。</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没按要求的为B。</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市教育局、市住房城乡规划建设局、市财</w:t>
            </w:r>
            <w:r>
              <w:rPr>
                <w:rFonts w:ascii="仿宋_GB2312" w:hAnsi="仿宋" w:hint="eastAsia"/>
                <w:kern w:val="0"/>
                <w:sz w:val="28"/>
                <w:szCs w:val="28"/>
              </w:rPr>
              <w:lastRenderedPageBreak/>
              <w:t>政局、市妇联、市残联、市人口和计划生育局、各县（区）人民政府（管委会）</w:t>
            </w:r>
          </w:p>
        </w:tc>
      </w:tr>
      <w:tr w:rsidR="001C63AF" w:rsidTr="001C63AF">
        <w:trPr>
          <w:trHeight w:val="102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6.2.2</w:t>
              </w:r>
            </w:smartTag>
            <w:r>
              <w:rPr>
                <w:rFonts w:ascii="仿宋_GB2312" w:hAnsi="仿宋" w:hint="eastAsia"/>
                <w:kern w:val="0"/>
                <w:sz w:val="28"/>
                <w:szCs w:val="28"/>
              </w:rPr>
              <w:t xml:space="preserve"> 建立以政府为主导、社会各方面广泛参与的留守儿童关爱体系。</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039"/>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2"/>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6.2.3</w:t>
              </w:r>
            </w:smartTag>
            <w:r>
              <w:rPr>
                <w:rFonts w:ascii="仿宋_GB2312" w:hAnsi="仿宋" w:hint="eastAsia"/>
                <w:kern w:val="0"/>
                <w:sz w:val="28"/>
                <w:szCs w:val="28"/>
              </w:rPr>
              <w:t>进城务工人员随迁子女在公办学校就读比例不低于50%。</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40—49%为B。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72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6.2.4</w:t>
              </w:r>
            </w:smartTag>
            <w:r>
              <w:rPr>
                <w:rFonts w:ascii="仿宋_GB2312" w:hAnsi="仿宋" w:hint="eastAsia"/>
                <w:kern w:val="0"/>
                <w:sz w:val="28"/>
                <w:szCs w:val="28"/>
              </w:rPr>
              <w:t>三类残疾儿童少年入学率达97%。</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90—96%为B。</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2378"/>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6.3</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普惠性幼儿园</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6.3.1</w:t>
              </w:r>
            </w:smartTag>
            <w:r>
              <w:rPr>
                <w:rFonts w:ascii="仿宋_GB2312" w:hAnsi="仿宋" w:hint="eastAsia"/>
                <w:kern w:val="0"/>
                <w:sz w:val="28"/>
                <w:szCs w:val="28"/>
              </w:rPr>
              <w:t>普惠性幼儿园比例逐年提高。</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499"/>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6.4</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助学工作</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6.4.1</w:t>
              </w:r>
            </w:smartTag>
            <w:r>
              <w:rPr>
                <w:rFonts w:ascii="仿宋_GB2312" w:hAnsi="仿宋" w:hint="eastAsia"/>
                <w:kern w:val="0"/>
                <w:sz w:val="28"/>
                <w:szCs w:val="28"/>
              </w:rPr>
              <w:t>重视助学工作，全面落实家庭经济困难学生资助政策。</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1735"/>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firstLine="174"/>
              <w:jc w:val="center"/>
              <w:rPr>
                <w:rFonts w:ascii="仿宋_GB2312" w:hAnsi="仿宋"/>
                <w:kern w:val="0"/>
                <w:sz w:val="28"/>
                <w:szCs w:val="28"/>
              </w:rPr>
            </w:pPr>
            <w:r>
              <w:rPr>
                <w:rFonts w:ascii="仿宋_GB2312" w:hAnsi="仿宋" w:hint="eastAsia"/>
                <w:b/>
                <w:bCs/>
                <w:kern w:val="0"/>
                <w:sz w:val="28"/>
                <w:szCs w:val="28"/>
              </w:rPr>
              <w:lastRenderedPageBreak/>
              <w:t>7.</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交</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流</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与</w:t>
            </w:r>
          </w:p>
          <w:p w:rsidR="001C63AF" w:rsidRDefault="001C63AF">
            <w:pPr>
              <w:spacing w:line="400" w:lineRule="exact"/>
              <w:jc w:val="center"/>
              <w:rPr>
                <w:rFonts w:ascii="仿宋_GB2312" w:hAnsi="仿宋" w:hint="eastAsia"/>
                <w:b/>
                <w:bCs/>
                <w:kern w:val="0"/>
                <w:sz w:val="28"/>
                <w:szCs w:val="28"/>
              </w:rPr>
            </w:pPr>
            <w:r>
              <w:rPr>
                <w:rFonts w:ascii="仿宋_GB2312" w:hAnsi="仿宋" w:hint="eastAsia"/>
                <w:b/>
                <w:bCs/>
                <w:kern w:val="0"/>
                <w:sz w:val="28"/>
                <w:szCs w:val="28"/>
              </w:rPr>
              <w:t>合</w:t>
            </w:r>
          </w:p>
          <w:p w:rsidR="001C63AF" w:rsidRDefault="001C63AF">
            <w:pPr>
              <w:spacing w:line="400" w:lineRule="exact"/>
              <w:jc w:val="center"/>
              <w:rPr>
                <w:rFonts w:ascii="仿宋_GB2312" w:hAnsi="仿宋"/>
                <w:kern w:val="0"/>
                <w:sz w:val="28"/>
                <w:szCs w:val="28"/>
              </w:rPr>
            </w:pPr>
            <w:r>
              <w:rPr>
                <w:rFonts w:ascii="仿宋_GB2312" w:hAnsi="仿宋" w:hint="eastAsia"/>
                <w:b/>
                <w:bCs/>
                <w:kern w:val="0"/>
                <w:sz w:val="28"/>
                <w:szCs w:val="28"/>
              </w:rPr>
              <w:t>作</w:t>
            </w: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7.1</w:t>
            </w:r>
          </w:p>
          <w:p w:rsidR="001C63AF" w:rsidRDefault="001C63AF">
            <w:pPr>
              <w:widowControl/>
              <w:spacing w:line="400" w:lineRule="exact"/>
              <w:jc w:val="center"/>
              <w:rPr>
                <w:rFonts w:ascii="仿宋_GB2312" w:hAnsi="仿宋"/>
                <w:kern w:val="0"/>
                <w:sz w:val="28"/>
                <w:szCs w:val="28"/>
              </w:rPr>
            </w:pPr>
            <w:r>
              <w:rPr>
                <w:rFonts w:ascii="仿宋_GB2312" w:hAnsi="仿宋" w:hint="eastAsia"/>
                <w:spacing w:val="-6"/>
                <w:kern w:val="0"/>
                <w:sz w:val="28"/>
                <w:szCs w:val="28"/>
              </w:rPr>
              <w:t>交流与合作工作基础</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7.1.1</w:t>
              </w:r>
            </w:smartTag>
            <w:r>
              <w:rPr>
                <w:rFonts w:ascii="仿宋_GB2312" w:hAnsi="仿宋" w:hint="eastAsia"/>
                <w:kern w:val="0"/>
                <w:sz w:val="28"/>
                <w:szCs w:val="28"/>
              </w:rPr>
              <w:t>市教育行政部门工作职责中有明确的对外交流工作职能，有相应的工作部门和工作经费；认真执行对外交流法律法规和上级有关政策；与国际及港澳台交流合作机制完善，制订对外交流合作工作规划、实施方案和年度工作计划，定期指导督促所辖各县（市、区）及学校开展对外交流活动。</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spacing w:val="-4"/>
                <w:kern w:val="0"/>
                <w:sz w:val="28"/>
                <w:szCs w:val="28"/>
              </w:rPr>
            </w:pPr>
            <w:r>
              <w:rPr>
                <w:rFonts w:ascii="仿宋_GB2312" w:hAnsi="仿宋" w:hint="eastAsia"/>
                <w:spacing w:val="-4"/>
                <w:kern w:val="0"/>
                <w:sz w:val="28"/>
                <w:szCs w:val="28"/>
              </w:rPr>
              <w:t>根据考察评定等级。</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市教育局、市外事侨务局、各县（区）人民政府（管委会）</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7.2</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国际及港澳台合作与交流</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7.2.1</w:t>
              </w:r>
            </w:smartTag>
            <w:r>
              <w:rPr>
                <w:rFonts w:ascii="仿宋_GB2312" w:hAnsi="仿宋" w:hint="eastAsia"/>
                <w:kern w:val="0"/>
                <w:sz w:val="28"/>
                <w:szCs w:val="28"/>
              </w:rPr>
              <w:t>与境外教育部门、学校等机构有较频繁的交流和合作；重视辖区教师境外培训培养，制定教师出境交流学习计划，教师出境的比例逐年提高，接受境外培训培养教师的学习成果在本区内推广；辖区重视聘请外籍教师工作，有健全的管理制度，管理规范。</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380" w:lineRule="exact"/>
              <w:rPr>
                <w:rFonts w:ascii="仿宋_GB2312" w:hAnsi="仿宋"/>
                <w:spacing w:val="-4"/>
                <w:kern w:val="0"/>
                <w:sz w:val="28"/>
                <w:szCs w:val="28"/>
              </w:rPr>
            </w:pPr>
            <w:r>
              <w:rPr>
                <w:rFonts w:ascii="仿宋_GB2312" w:hAnsi="仿宋" w:hint="eastAsia"/>
                <w:spacing w:val="-4"/>
                <w:kern w:val="0"/>
                <w:sz w:val="28"/>
                <w:szCs w:val="28"/>
              </w:rPr>
              <w:t>根据考察评定等级。“与境外教育部门、学校等机构有较频繁的交流和合作”包括：切实有效开展人员交流、信息交流、资源共享、教学科研合作等活动并建立稳定的联系（如签署合作协议或形成合作机制等），交流与合作项目在数量、经费和影响力逐年增长，形成一定数量的品牌项目及可推广的经验。</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7.2.2</w:t>
              </w:r>
            </w:smartTag>
            <w:r>
              <w:rPr>
                <w:rFonts w:ascii="仿宋_GB2312" w:hAnsi="仿宋" w:hint="eastAsia"/>
                <w:kern w:val="0"/>
                <w:sz w:val="28"/>
                <w:szCs w:val="28"/>
              </w:rPr>
              <w:t>辖区重视外国学生和港澳台学生工作，有相应的管理规范和制度，妥善解决入学问题。</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w:t>
            </w:r>
          </w:p>
        </w:tc>
      </w:tr>
      <w:tr w:rsidR="001C63AF" w:rsidTr="001C63AF">
        <w:trPr>
          <w:trHeight w:val="567"/>
        </w:trPr>
        <w:tc>
          <w:tcPr>
            <w:tcW w:w="7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C63AF" w:rsidRDefault="001C63AF">
            <w:pPr>
              <w:widowControl/>
              <w:spacing w:line="400" w:lineRule="exact"/>
              <w:ind w:firstLine="174"/>
              <w:jc w:val="center"/>
              <w:rPr>
                <w:rFonts w:ascii="仿宋_GB2312" w:hAnsi="仿宋"/>
                <w:kern w:val="0"/>
                <w:sz w:val="28"/>
                <w:szCs w:val="28"/>
              </w:rPr>
            </w:pPr>
            <w:r>
              <w:rPr>
                <w:rFonts w:ascii="仿宋_GB2312" w:hAnsi="仿宋" w:hint="eastAsia"/>
                <w:b/>
                <w:bCs/>
                <w:kern w:val="0"/>
                <w:sz w:val="28"/>
                <w:szCs w:val="28"/>
              </w:rPr>
              <w:t>7.</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教</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育</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交</w:t>
            </w:r>
          </w:p>
          <w:p w:rsidR="001C63AF" w:rsidRDefault="001C63AF">
            <w:pPr>
              <w:widowControl/>
              <w:spacing w:line="400" w:lineRule="exact"/>
              <w:jc w:val="center"/>
              <w:rPr>
                <w:rFonts w:ascii="仿宋_GB2312" w:hAnsi="仿宋" w:hint="eastAsia"/>
                <w:b/>
                <w:bCs/>
                <w:kern w:val="0"/>
                <w:sz w:val="28"/>
                <w:szCs w:val="28"/>
              </w:rPr>
            </w:pPr>
            <w:r>
              <w:rPr>
                <w:rFonts w:ascii="仿宋_GB2312" w:hAnsi="仿宋" w:hint="eastAsia"/>
                <w:b/>
                <w:bCs/>
                <w:kern w:val="0"/>
                <w:sz w:val="28"/>
                <w:szCs w:val="28"/>
              </w:rPr>
              <w:t>流</w:t>
            </w:r>
          </w:p>
          <w:p w:rsidR="001C63AF" w:rsidRDefault="001C63AF">
            <w:pPr>
              <w:widowControl/>
              <w:spacing w:line="400" w:lineRule="exact"/>
              <w:jc w:val="center"/>
              <w:rPr>
                <w:rFonts w:ascii="仿宋_GB2312" w:hAnsi="仿宋" w:hint="eastAsia"/>
                <w:kern w:val="0"/>
                <w:sz w:val="28"/>
                <w:szCs w:val="28"/>
              </w:rPr>
            </w:pPr>
            <w:r>
              <w:rPr>
                <w:rFonts w:ascii="仿宋_GB2312" w:hAnsi="仿宋" w:hint="eastAsia"/>
                <w:b/>
                <w:bCs/>
                <w:kern w:val="0"/>
                <w:sz w:val="28"/>
                <w:szCs w:val="28"/>
              </w:rPr>
              <w:t>与</w:t>
            </w:r>
          </w:p>
          <w:p w:rsidR="001C63AF" w:rsidRDefault="001C63AF">
            <w:pPr>
              <w:spacing w:line="400" w:lineRule="exact"/>
              <w:jc w:val="center"/>
              <w:rPr>
                <w:rFonts w:ascii="仿宋_GB2312" w:hAnsi="仿宋" w:hint="eastAsia"/>
                <w:b/>
                <w:bCs/>
                <w:kern w:val="0"/>
                <w:sz w:val="28"/>
                <w:szCs w:val="28"/>
              </w:rPr>
            </w:pPr>
            <w:r>
              <w:rPr>
                <w:rFonts w:ascii="仿宋_GB2312" w:hAnsi="仿宋" w:hint="eastAsia"/>
                <w:b/>
                <w:bCs/>
                <w:kern w:val="0"/>
                <w:sz w:val="28"/>
                <w:szCs w:val="28"/>
              </w:rPr>
              <w:t>合</w:t>
            </w:r>
          </w:p>
          <w:p w:rsidR="001C63AF" w:rsidRDefault="001C63AF">
            <w:pPr>
              <w:spacing w:line="400" w:lineRule="exact"/>
              <w:jc w:val="center"/>
              <w:rPr>
                <w:rFonts w:ascii="仿宋_GB2312" w:hAnsi="仿宋"/>
                <w:kern w:val="0"/>
                <w:sz w:val="28"/>
                <w:szCs w:val="28"/>
              </w:rPr>
            </w:pPr>
            <w:r>
              <w:rPr>
                <w:rFonts w:ascii="仿宋_GB2312" w:hAnsi="仿宋" w:hint="eastAsia"/>
                <w:b/>
                <w:bCs/>
                <w:kern w:val="0"/>
                <w:sz w:val="28"/>
                <w:szCs w:val="28"/>
              </w:rPr>
              <w:t>作</w:t>
            </w: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7.3</w:t>
            </w:r>
          </w:p>
          <w:p w:rsidR="001C63AF" w:rsidRDefault="001C63AF">
            <w:pPr>
              <w:widowControl/>
              <w:spacing w:line="400" w:lineRule="exact"/>
              <w:jc w:val="center"/>
              <w:rPr>
                <w:rFonts w:ascii="仿宋_GB2312" w:hAnsi="仿宋"/>
                <w:kern w:val="0"/>
                <w:sz w:val="28"/>
                <w:szCs w:val="28"/>
              </w:rPr>
            </w:pPr>
            <w:r>
              <w:rPr>
                <w:rFonts w:ascii="仿宋_GB2312" w:hAnsi="仿宋" w:hint="eastAsia"/>
                <w:kern w:val="0"/>
                <w:sz w:val="28"/>
                <w:szCs w:val="28"/>
              </w:rPr>
              <w:t>国际理解教育</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7.3.1</w:t>
              </w:r>
            </w:smartTag>
            <w:r>
              <w:rPr>
                <w:rFonts w:ascii="仿宋_GB2312" w:hAnsi="仿宋" w:hint="eastAsia"/>
                <w:kern w:val="0"/>
                <w:sz w:val="28"/>
                <w:szCs w:val="28"/>
              </w:rPr>
              <w:t>在弘扬中华优秀传统文化基础上，加强国际理解教育，培养学生国际化素养，学生理解、尊重多元化文化，懂得并掌握基本的国际礼仪。</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w:t>
            </w:r>
          </w:p>
        </w:tc>
      </w:tr>
      <w:tr w:rsidR="001C63AF" w:rsidTr="001C63AF">
        <w:trPr>
          <w:trHeight w:val="56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jc w:val="left"/>
              <w:rPr>
                <w:rFonts w:ascii="仿宋_GB2312" w:hAnsi="仿宋"/>
                <w:kern w:val="0"/>
                <w:sz w:val="28"/>
                <w:szCs w:val="2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17" w:right="-69"/>
              <w:jc w:val="center"/>
              <w:rPr>
                <w:rFonts w:ascii="仿宋_GB2312" w:hAnsi="仿宋"/>
                <w:kern w:val="0"/>
                <w:sz w:val="28"/>
                <w:szCs w:val="28"/>
              </w:rPr>
            </w:pPr>
            <w:r>
              <w:rPr>
                <w:rFonts w:ascii="仿宋_GB2312" w:hAnsi="仿宋" w:hint="eastAsia"/>
                <w:kern w:val="0"/>
                <w:sz w:val="28"/>
                <w:szCs w:val="28"/>
              </w:rPr>
              <w:t>7.4</w:t>
            </w:r>
          </w:p>
          <w:p w:rsidR="001C63AF" w:rsidRDefault="001C63AF">
            <w:pPr>
              <w:widowControl/>
              <w:spacing w:line="400" w:lineRule="exact"/>
              <w:ind w:left="17" w:right="-69"/>
              <w:jc w:val="center"/>
              <w:rPr>
                <w:rFonts w:ascii="仿宋_GB2312" w:hAnsi="仿宋"/>
                <w:kern w:val="0"/>
                <w:sz w:val="28"/>
                <w:szCs w:val="28"/>
              </w:rPr>
            </w:pPr>
            <w:r>
              <w:rPr>
                <w:rFonts w:ascii="仿宋_GB2312" w:hAnsi="仿宋" w:hint="eastAsia"/>
                <w:kern w:val="0"/>
                <w:sz w:val="28"/>
                <w:szCs w:val="28"/>
              </w:rPr>
              <w:t>职业教育国际化</w:t>
            </w:r>
          </w:p>
        </w:tc>
        <w:tc>
          <w:tcPr>
            <w:tcW w:w="6604"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hAnsi="仿宋" w:hint="eastAsia"/>
                  <w:kern w:val="0"/>
                  <w:sz w:val="28"/>
                  <w:szCs w:val="28"/>
                </w:rPr>
                <w:t>7.4.1</w:t>
              </w:r>
            </w:smartTag>
            <w:r>
              <w:rPr>
                <w:rFonts w:ascii="仿宋_GB2312" w:hAnsi="仿宋" w:hint="eastAsia"/>
                <w:kern w:val="0"/>
                <w:sz w:val="28"/>
                <w:szCs w:val="28"/>
              </w:rPr>
              <w:t>中等职业学校有与国际接轨的专业课程与教学，有学生取得国际通用职业资格证书。</w:t>
            </w:r>
          </w:p>
        </w:tc>
        <w:tc>
          <w:tcPr>
            <w:tcW w:w="3420"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根据考察评定等级。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rPr>
                <w:rFonts w:ascii="仿宋_GB2312" w:hAnsi="仿宋"/>
                <w:kern w:val="0"/>
                <w:sz w:val="28"/>
                <w:szCs w:val="28"/>
              </w:rPr>
            </w:pPr>
            <w:r>
              <w:rPr>
                <w:rFonts w:ascii="仿宋_GB2312" w:hAnsi="仿宋" w:hint="eastAsia"/>
                <w:kern w:val="0"/>
                <w:sz w:val="28"/>
                <w:szCs w:val="28"/>
              </w:rPr>
              <w:t>市教育局</w:t>
            </w:r>
          </w:p>
        </w:tc>
      </w:tr>
      <w:tr w:rsidR="001C63AF" w:rsidTr="001C63AF">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ind w:left="17" w:right="-69"/>
              <w:jc w:val="center"/>
              <w:rPr>
                <w:rFonts w:ascii="仿宋_GB2312" w:hAnsi="仿宋"/>
                <w:kern w:val="0"/>
                <w:sz w:val="28"/>
                <w:szCs w:val="28"/>
              </w:rPr>
            </w:pPr>
            <w:r>
              <w:rPr>
                <w:rFonts w:ascii="仿宋_GB2312" w:hAnsi="仿宋" w:hint="eastAsia"/>
                <w:kern w:val="0"/>
                <w:sz w:val="28"/>
                <w:szCs w:val="28"/>
              </w:rPr>
              <w:t>合计</w:t>
            </w:r>
          </w:p>
        </w:tc>
        <w:tc>
          <w:tcPr>
            <w:tcW w:w="12829" w:type="dxa"/>
            <w:gridSpan w:val="3"/>
            <w:tcBorders>
              <w:top w:val="single" w:sz="4" w:space="0" w:color="auto"/>
              <w:left w:val="single" w:sz="4" w:space="0" w:color="auto"/>
              <w:bottom w:val="single" w:sz="4" w:space="0" w:color="auto"/>
              <w:right w:val="single" w:sz="4" w:space="0" w:color="auto"/>
            </w:tcBorders>
            <w:vAlign w:val="center"/>
            <w:hideMark/>
          </w:tcPr>
          <w:p w:rsidR="001C63AF" w:rsidRDefault="001C63AF">
            <w:pPr>
              <w:widowControl/>
              <w:spacing w:line="400" w:lineRule="exact"/>
              <w:jc w:val="left"/>
              <w:rPr>
                <w:rFonts w:ascii="仿宋_GB2312" w:hAnsi="仿宋"/>
                <w:kern w:val="0"/>
                <w:sz w:val="28"/>
                <w:szCs w:val="28"/>
              </w:rPr>
            </w:pPr>
            <w:r>
              <w:rPr>
                <w:rFonts w:ascii="仿宋_GB2312" w:hAnsi="仿宋" w:hint="eastAsia"/>
                <w:kern w:val="0"/>
                <w:sz w:val="28"/>
                <w:szCs w:val="28"/>
              </w:rPr>
              <w:t>三级指标A：     个；B：      个；C：      个。</w:t>
            </w:r>
          </w:p>
        </w:tc>
      </w:tr>
    </w:tbl>
    <w:p w:rsidR="001C63AF" w:rsidRDefault="001C63AF" w:rsidP="001C63AF">
      <w:pPr>
        <w:widowControl/>
        <w:shd w:val="clear" w:color="auto" w:fill="FFFFFF"/>
        <w:spacing w:line="400" w:lineRule="exact"/>
        <w:jc w:val="left"/>
        <w:rPr>
          <w:rFonts w:ascii="仿宋_GB2312" w:hAnsi="仿宋" w:hint="eastAsia"/>
          <w:b/>
          <w:bCs/>
          <w:kern w:val="0"/>
          <w:sz w:val="28"/>
          <w:szCs w:val="28"/>
        </w:rPr>
      </w:pPr>
    </w:p>
    <w:p w:rsidR="001C63AF" w:rsidRDefault="001C63AF" w:rsidP="001C63AF">
      <w:pPr>
        <w:widowControl/>
        <w:shd w:val="clear" w:color="auto" w:fill="FFFFFF"/>
        <w:spacing w:line="400" w:lineRule="exact"/>
        <w:jc w:val="left"/>
        <w:rPr>
          <w:rFonts w:ascii="仿宋_GB2312" w:hAnsi="仿宋" w:hint="eastAsia"/>
          <w:kern w:val="0"/>
          <w:sz w:val="28"/>
          <w:szCs w:val="28"/>
        </w:rPr>
      </w:pPr>
      <w:r>
        <w:rPr>
          <w:rFonts w:ascii="仿宋_GB2312" w:hAnsi="仿宋" w:hint="eastAsia"/>
          <w:bCs/>
          <w:kern w:val="0"/>
          <w:sz w:val="28"/>
          <w:szCs w:val="28"/>
        </w:rPr>
        <w:t>说明：1.</w:t>
      </w:r>
      <w:r>
        <w:rPr>
          <w:rFonts w:ascii="仿宋_GB2312" w:hAnsi="仿宋" w:hint="eastAsia"/>
          <w:kern w:val="0"/>
          <w:sz w:val="28"/>
          <w:szCs w:val="28"/>
        </w:rPr>
        <w:t>推进教育现代化先进市督导验收达标要求：粤东西北汕头等12市为A≥48、C=0。</w:t>
      </w:r>
    </w:p>
    <w:p w:rsidR="001C63AF" w:rsidRDefault="001C63AF" w:rsidP="001C63AF">
      <w:pPr>
        <w:widowControl/>
        <w:shd w:val="clear" w:color="auto" w:fill="FFFFFF"/>
        <w:spacing w:line="400" w:lineRule="exact"/>
        <w:ind w:leftChars="262" w:left="1118" w:hangingChars="100" w:hanging="280"/>
        <w:jc w:val="left"/>
        <w:rPr>
          <w:rFonts w:ascii="仿宋_GB2312" w:hAnsi="仿宋" w:hint="eastAsia"/>
          <w:kern w:val="0"/>
          <w:sz w:val="28"/>
          <w:szCs w:val="28"/>
        </w:rPr>
      </w:pPr>
      <w:r>
        <w:rPr>
          <w:rFonts w:ascii="仿宋_GB2312" w:hAnsi="仿宋" w:hint="eastAsia"/>
          <w:kern w:val="0"/>
          <w:sz w:val="28"/>
          <w:szCs w:val="28"/>
        </w:rPr>
        <w:t>2.“等级标准”栏所有要素评定为A，则该三级指标结论为A；有1个以上要素评定为B，则该三级指标结论为B，有1个以上要素评定为C，则该三级指标结论为C。</w:t>
      </w:r>
    </w:p>
    <w:p w:rsidR="006E23C4" w:rsidRPr="001C63AF" w:rsidRDefault="006E23C4"/>
    <w:sectPr w:rsidR="006E23C4" w:rsidRPr="001C63AF" w:rsidSect="001C63A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3C4" w:rsidRDefault="006E23C4" w:rsidP="001C63AF">
      <w:r>
        <w:separator/>
      </w:r>
    </w:p>
  </w:endnote>
  <w:endnote w:type="continuationSeparator" w:id="1">
    <w:p w:rsidR="006E23C4" w:rsidRDefault="006E23C4" w:rsidP="001C63AF">
      <w:r>
        <w:continuationSeparator/>
      </w:r>
    </w:p>
  </w:endnote>
</w:endnotes>
</file>

<file path=word/fontTable.xml><?xml version="1.0" encoding="utf-8"?>
<w:fonts xmlns:r="http://schemas.openxmlformats.org/officeDocument/2006/relationships" xmlns:w="http://schemas.openxmlformats.org/wordprocessingml/2006/main">
  <w:font w:name="创艺简标宋">
    <w:altName w:val="方正兰亭超细黑简体"/>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3C4" w:rsidRDefault="006E23C4" w:rsidP="001C63AF">
      <w:r>
        <w:separator/>
      </w:r>
    </w:p>
  </w:footnote>
  <w:footnote w:type="continuationSeparator" w:id="1">
    <w:p w:rsidR="006E23C4" w:rsidRDefault="006E23C4" w:rsidP="001C6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F4331"/>
    <w:multiLevelType w:val="multilevel"/>
    <w:tmpl w:val="4C0CDAD4"/>
    <w:lvl w:ilvl="0">
      <w:start w:val="1"/>
      <w:numFmt w:val="japaneseCounting"/>
      <w:lvlText w:val="（%1）"/>
      <w:lvlJc w:val="left"/>
      <w:pPr>
        <w:tabs>
          <w:tab w:val="num" w:pos="960"/>
        </w:tabs>
        <w:ind w:left="960" w:hanging="960"/>
      </w:pPr>
      <w:rPr>
        <w:rFonts w:ascii="创艺简标宋" w:eastAsia="创艺简标宋" w:hAnsi="Times New Roman" w:cs="Times New Roman" w:hint="eastAsia"/>
        <w:sz w:val="32"/>
        <w:szCs w:val="32"/>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63AF"/>
    <w:rsid w:val="001C63AF"/>
    <w:rsid w:val="006E2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3A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6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63AF"/>
    <w:rPr>
      <w:sz w:val="18"/>
      <w:szCs w:val="18"/>
    </w:rPr>
  </w:style>
  <w:style w:type="paragraph" w:styleId="a4">
    <w:name w:val="footer"/>
    <w:basedOn w:val="a"/>
    <w:link w:val="Char0"/>
    <w:uiPriority w:val="99"/>
    <w:semiHidden/>
    <w:unhideWhenUsed/>
    <w:rsid w:val="001C63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63AF"/>
    <w:rPr>
      <w:sz w:val="18"/>
      <w:szCs w:val="18"/>
    </w:rPr>
  </w:style>
</w:styles>
</file>

<file path=word/webSettings.xml><?xml version="1.0" encoding="utf-8"?>
<w:webSettings xmlns:r="http://schemas.openxmlformats.org/officeDocument/2006/relationships" xmlns:w="http://schemas.openxmlformats.org/wordprocessingml/2006/main">
  <w:divs>
    <w:div w:id="59660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5520</Characters>
  <Application>Microsoft Office Word</Application>
  <DocSecurity>0</DocSecurity>
  <Lines>46</Lines>
  <Paragraphs>12</Paragraphs>
  <ScaleCrop>false</ScaleCrop>
  <Company>FBI</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何大爺</dc:creator>
  <cp:keywords/>
  <dc:description/>
  <cp:lastModifiedBy>何大爺</cp:lastModifiedBy>
  <cp:revision>3</cp:revision>
  <dcterms:created xsi:type="dcterms:W3CDTF">2016-08-17T07:13:00Z</dcterms:created>
  <dcterms:modified xsi:type="dcterms:W3CDTF">2016-08-17T07:14:00Z</dcterms:modified>
</cp:coreProperties>
</file>