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0"/>
          <w:szCs w:val="20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0"/>
          <w:szCs w:val="20"/>
          <w:lang w:val="en-US" w:eastAsia="zh-CN"/>
        </w:rPr>
        <w:t>1-1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医疗服务价格项目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使用说明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widowControl w:val="0"/>
        <w:numPr>
          <w:ilvl w:val="0"/>
          <w:numId w:val="1"/>
        </w:numPr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项目分类</w:t>
      </w:r>
    </w:p>
    <w:p>
      <w:pPr>
        <w:widowControl w:val="0"/>
        <w:numPr>
          <w:ilvl w:val="-1"/>
          <w:numId w:val="0"/>
        </w:numPr>
        <w:spacing w:beforeLines="0" w:afterLines="0" w:line="600" w:lineRule="exact"/>
        <w:ind w:firstLine="640" w:firstLineChars="200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广东省市场调节价医疗服务价格项目目录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列医疗服务价格项目采用五级分类法。其中第一级分为综合医疗服务类、医技诊疗类、临床诊疗类、中医及民族医诊疗类。每类下可设第二至四级分类，第五级为医疗服务价格终极项目。其中临床诊疗类中“临床各系统诊疗”和“手术治疗”两类参照国际疾病分类（ICD-9-CM）的分类格式，按解剖部位从上至下，由近端到远端，由浅层到深层原则排序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项目分类的基本框架举例如下：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医疗服务价格项目</w:t>
      </w:r>
    </w:p>
    <w:tbl>
      <w:tblPr>
        <w:tblStyle w:val="9"/>
        <w:tblW w:w="7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48"/>
        <w:gridCol w:w="779"/>
        <w:gridCol w:w="780"/>
        <w:gridCol w:w="447"/>
        <w:gridCol w:w="333"/>
        <w:gridCol w:w="780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综合医疗服务类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医技诊疗类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临床诊疗类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中医及民族医诊疗类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4   （一级分类）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9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18"/>
        <w:gridCol w:w="1107"/>
        <w:gridCol w:w="1107"/>
        <w:gridCol w:w="40"/>
        <w:gridCol w:w="607"/>
        <w:gridCol w:w="64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临床各系统诊疗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经血管介入性治疗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手术治疗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物理治疗与康复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34  （二级分类）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9"/>
        <w:tblW w:w="8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55"/>
        <w:gridCol w:w="850"/>
        <w:gridCol w:w="851"/>
        <w:gridCol w:w="921"/>
        <w:gridCol w:w="901"/>
        <w:gridCol w:w="20"/>
        <w:gridCol w:w="663"/>
        <w:gridCol w:w="663"/>
        <w:gridCol w:w="712"/>
        <w:gridCol w:w="712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神经系统手术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内分泌系统手术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眼部手术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耳部手术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3305   ……（三级分类）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9"/>
        <w:tblW w:w="9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3"/>
        <w:gridCol w:w="595"/>
        <w:gridCol w:w="595"/>
        <w:gridCol w:w="708"/>
        <w:gridCol w:w="709"/>
        <w:gridCol w:w="736"/>
        <w:gridCol w:w="43"/>
        <w:gridCol w:w="780"/>
        <w:gridCol w:w="1205"/>
        <w:gridCol w:w="1206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9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2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眼睑手术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泪器手术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结膜手术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角膜手术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虹膜睫状体和前房手术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330405  ……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9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3" w:type="dxa"/>
            <w:tcBorders>
              <w:top w:val="nil"/>
              <w:lef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6" w:type="dxa"/>
            <w:gridSpan w:val="2"/>
            <w:tcBorders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330404001 表层角膜镜片镶嵌术      （第五级：终极项目）</w:t>
            </w:r>
          </w:p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330404002 近视性放射状角膜切开术 ……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医疗服务价格项目要素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每项医疗服务价格项目设“财务分类”、“编码”、“项目名称”、“项目内涵”、“除外内容”、“计价单位”、“价格”和“说明”八个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1.财务分类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财务分类是根据财政部和卫生健康委颁布的《医院财务制度》规定的医疗收入项目类别确定的，财务分类码采用大写英文字母，其中： B为床位费、C为诊查费、D为检查费、E为治疗费、F为护理费、G为手术费、H为化验费。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2.项目编码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项目编码采用顺序码，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位。从左至右第1位为一级分类码，第2位为二级分类码，第3－4位为三级分类码，第5－6位为四级分类码，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第7位之后为项目顺序码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以全国</w:t>
      </w:r>
      <w:r>
        <w:rPr>
          <w:rFonts w:hint="default" w:ascii="Times New Roman" w:hAnsi="Times New Roman" w:eastAsia="仿宋_GB2312"/>
          <w:sz w:val="32"/>
          <w:szCs w:val="32"/>
        </w:rPr>
        <w:t>统一的9位编码为基础，采用9+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/>
          <w:sz w:val="32"/>
          <w:szCs w:val="32"/>
        </w:rPr>
        <w:t>位编码管理，每一个编码对应一个项目。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部分类别项目因分类简单，无第三、四级分类，分类编码记为“00”。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市场调节价医疗服务价格项目，医疗机构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可根据成本等情况制定不同的价格标准，收费编码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省医保局公布同一项目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用“/1、/2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...”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顺延编号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3.项目名称</w:t>
      </w:r>
    </w:p>
    <w:p>
      <w:pPr>
        <w:pStyle w:val="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为中文标准名称，部分项目名称中在括号内列出西文名称或缩写。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市场调节价医疗服务价格项目如顺延编码，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收费项目名称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加后缀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（如部位、方法等）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进行区分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4.项目内涵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用于规范项目的服务范围、内容、方式和手段。项目内涵使用“含”、“指”、“不含”三个专用名词进行界定：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⑴ 含：表示在医疗服务项目中应当提供的服务内容，这些服务内容不得单独分解收费。但在特殊情况下，由于患者病情需要只提供其中部分服务内容,也按此项标准计价。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⑵指：在“指”后面所列的内容，指完成该诊疗项目的不同方法，或该诊疗项目的适用范围。如无特别说明，不得重复计费。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⑶不含：在“不含”后面所列的服务内容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单独计价。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5.除外内容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指在医疗服务项目中需要另行收费的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和组织器官移植的供体等。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6.计价单位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指提供该项目服务时的基本计价方式。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价格</w:t>
      </w:r>
    </w:p>
    <w:p>
      <w:pPr>
        <w:widowControl/>
        <w:numPr>
          <w:ilvl w:val="-1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指完成该项目服务可以收取的费用，为各地市公立医疗机构医疗服务政府指导价。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.说明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指本项目在定价时需要特殊说明的相关事宜。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三、关于项目查找的说明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多科室共同使用的项目统一归入综合医疗服务类。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临床各系统诊疗类和手术治疗类项目不按临床科室列项，请参照国际疾病分类顺序，按照相应的解剖系统和部位查找。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两个以上医技科室均可开展的医技诊疗项目，查找时请注意医技诊疗类的说明。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开展医保部门公布项目未覆盖的新医疗技术或新医疗活动需要收费，请按照管理权限和规定申请立项。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四、需要说明的几点问题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1.在同一服务内容中，《基本医疗服务项目价格》不以设备、试剂的型号和产地分别立项。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2.提供各项医疗服务必须按医嘱要求或护理记录进行，无医嘱要求或护理记录的服务项目不得收费。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3．监护（监测）收费必须提供监护（监测）记录、监护（监测）结论报告等依据。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4．收取各类片费、图文报告费，必须向患者提供胶片（图片）或图文报告，用于教学目的或医院存档目的的胶片（图片）和图文报告不得向患者收费。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5．“除外内容”和“说明”中未明确规定可另外计费的医疗器械、一次性医用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等，一律不得另外收费；患者需使用“除外内容”中列明的需另外计费的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特殊医用消耗材料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时，医疗机构应事先征得患者或家属同意，未经患者或家属同意的，不得收费。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6.“项目内涵”中未注明“含药物”的，药物可另行收费。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7.所有医疗服务项目收费需符合卫生管理规定及具备相关资质。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8.因操作失误、仪器性能差错等原因，导致需要重新检查、检验及治疗的，一律不得向患者另行收费。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88636"/>
    <w:multiLevelType w:val="singleLevel"/>
    <w:tmpl w:val="B48886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1263C1"/>
    <w:multiLevelType w:val="singleLevel"/>
    <w:tmpl w:val="17126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11"/>
    <w:rsid w:val="00240227"/>
    <w:rsid w:val="009C4B85"/>
    <w:rsid w:val="00BB3D19"/>
    <w:rsid w:val="00C34E0F"/>
    <w:rsid w:val="00E95B11"/>
    <w:rsid w:val="00EA4122"/>
    <w:rsid w:val="0117218F"/>
    <w:rsid w:val="01D21099"/>
    <w:rsid w:val="058502E7"/>
    <w:rsid w:val="07533FFB"/>
    <w:rsid w:val="0DC21A39"/>
    <w:rsid w:val="0EDE6E57"/>
    <w:rsid w:val="0F524ACA"/>
    <w:rsid w:val="13F12696"/>
    <w:rsid w:val="1854231F"/>
    <w:rsid w:val="1B135858"/>
    <w:rsid w:val="1BD1170E"/>
    <w:rsid w:val="1F291EDD"/>
    <w:rsid w:val="203618CF"/>
    <w:rsid w:val="20BD6985"/>
    <w:rsid w:val="244817D1"/>
    <w:rsid w:val="2BD3034C"/>
    <w:rsid w:val="2BF05906"/>
    <w:rsid w:val="2EC67949"/>
    <w:rsid w:val="338319F9"/>
    <w:rsid w:val="346143FF"/>
    <w:rsid w:val="35045783"/>
    <w:rsid w:val="36474EB7"/>
    <w:rsid w:val="3B7D11D5"/>
    <w:rsid w:val="401054E1"/>
    <w:rsid w:val="414D0494"/>
    <w:rsid w:val="41DA32C6"/>
    <w:rsid w:val="437E5844"/>
    <w:rsid w:val="4A29262A"/>
    <w:rsid w:val="4B4F4F4C"/>
    <w:rsid w:val="4DFF59F9"/>
    <w:rsid w:val="50B63CE2"/>
    <w:rsid w:val="51CC32F5"/>
    <w:rsid w:val="53375B37"/>
    <w:rsid w:val="53F920F0"/>
    <w:rsid w:val="553278D9"/>
    <w:rsid w:val="5C52491D"/>
    <w:rsid w:val="608B686F"/>
    <w:rsid w:val="628A4DEE"/>
    <w:rsid w:val="62E94EA4"/>
    <w:rsid w:val="6A96729C"/>
    <w:rsid w:val="6CEE2CDF"/>
    <w:rsid w:val="6CFA2465"/>
    <w:rsid w:val="6DE542D7"/>
    <w:rsid w:val="72333108"/>
    <w:rsid w:val="76701FC6"/>
    <w:rsid w:val="7F4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qFormat/>
    <w:uiPriority w:val="0"/>
    <w:rPr>
      <w:b/>
      <w:bCs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10"/>
    <w:semiHidden/>
    <w:qFormat/>
    <w:uiPriority w:val="0"/>
    <w:rPr>
      <w:sz w:val="18"/>
      <w:szCs w:val="18"/>
    </w:rPr>
  </w:style>
  <w:style w:type="character" w:customStyle="1" w:styleId="12">
    <w:name w:val="页脚 字符"/>
    <w:basedOn w:val="7"/>
    <w:link w:val="5"/>
    <w:semiHidden/>
    <w:qFormat/>
    <w:uiPriority w:val="0"/>
    <w:rPr>
      <w:sz w:val="18"/>
      <w:szCs w:val="18"/>
    </w:rPr>
  </w:style>
  <w:style w:type="character" w:customStyle="1" w:styleId="13">
    <w:name w:val="页眉 字符"/>
    <w:basedOn w:val="7"/>
    <w:link w:val="6"/>
    <w:semiHidden/>
    <w:qFormat/>
    <w:uiPriority w:val="0"/>
    <w:rPr>
      <w:sz w:val="18"/>
      <w:szCs w:val="18"/>
    </w:rPr>
  </w:style>
  <w:style w:type="character" w:customStyle="1" w:styleId="14">
    <w:name w:val="font01"/>
    <w:basedOn w:val="7"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basedOn w:val="18"/>
    <w:link w:val="2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1810</Words>
  <Characters>1904</Characters>
  <Lines>15</Lines>
  <Paragraphs>4</Paragraphs>
  <ScaleCrop>false</ScaleCrop>
  <LinksUpToDate>false</LinksUpToDate>
  <CharactersWithSpaces>1943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2016-01-11T17:06:00Z</dcterms:created>
  <dc:creator>微软用户</dc:creator>
  <cp:lastModifiedBy>吴海敏</cp:lastModifiedBy>
  <cp:lastPrinted>2016-01-29T16:17:00Z</cp:lastPrinted>
  <dcterms:modified xsi:type="dcterms:W3CDTF">2021-12-08T10:47:27Z</dcterms:modified>
  <dc:title>微软用户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342650</vt:lpwstr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广东省医疗保障局关于公布《广东省基本医疗服务价格项目目录（2021年版）》和《广东省市场调节价医疗服务价格项目目录（2021年版）》的通知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szoa/instance-web/minstone/wfDocBody/saveFileBody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7" name="urlParams">
    <vt:lpwstr>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8" name="lockDocUrl">
    <vt:lpwstr>https://xtbgsafe.gdzwfw.gov.cn/szoa/instance-web/minstone/wfDocBody/getLockInfo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9" name="copyUrl">
    <vt:lpwstr>https://xtbgsafe.gdzwfw.gov.cn/szoa/instance-web/minstone/wfDocBody/copy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0" name="unLockDocurl">
    <vt:lpwstr>https://xtbgsafe.gdzwfw.gov.cn/szoa/instance-web/minstone/wfDocBody/unLock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1" name="showSavePromptFlag">
    <vt:lpwstr>true</vt:lpwstr>
  </property>
  <property fmtid="{D5CDD505-2E9C-101B-9397-08002B2CF9AE}" pid="22" name="ribbonExt">
    <vt:lpwstr>{"WPSExtOfficeTab":{"OnGetEnabled":false,"OnGetVisible":false}}</vt:lpwstr>
  </property>
</Properties>
</file>