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sinsum" w:eastAsia="仿宋_GB2312" w:cs="仿宋_GB2312"/>
          <w:bCs/>
          <w:color w:val="auto"/>
          <w:kern w:val="0"/>
          <w:sz w:val="32"/>
          <w:szCs w:val="32"/>
          <w:shd w:val="clear" w:color="auto" w:fill="FFFFFF"/>
          <w:lang w:val="en-US" w:eastAsia="zh-CN" w:bidi="ar"/>
        </w:rPr>
      </w:pPr>
      <w:r>
        <w:rPr>
          <w:rFonts w:hint="eastAsia" w:ascii="仿宋_GB2312" w:hAnsi="sinsum" w:eastAsia="仿宋_GB2312" w:cs="仿宋_GB2312"/>
          <w:bCs/>
          <w:color w:val="auto"/>
          <w:kern w:val="0"/>
          <w:sz w:val="32"/>
          <w:szCs w:val="32"/>
          <w:shd w:val="clear" w:color="auto" w:fill="FFFFFF"/>
          <w:lang w:val="en-US" w:eastAsia="zh-CN" w:bidi="ar"/>
        </w:rPr>
        <w:t>附件4</w:t>
      </w:r>
      <w:bookmarkStart w:id="0" w:name="_GoBack"/>
      <w:bookmarkEnd w:id="0"/>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仿宋_GB2312" w:hAnsi="sinsum" w:eastAsia="仿宋_GB2312" w:cs="仿宋_GB2312"/>
          <w:bCs/>
          <w:color w:val="auto"/>
          <w:kern w:val="0"/>
          <w:sz w:val="32"/>
          <w:szCs w:val="32"/>
          <w:shd w:val="clear" w:color="auto" w:fill="FFFFFF"/>
          <w:lang w:val="en-US" w:eastAsia="zh-CN" w:bidi="ar"/>
        </w:rPr>
      </w:pPr>
    </w:p>
    <w:p>
      <w:pPr>
        <w:spacing w:line="640" w:lineRule="exact"/>
        <w:jc w:val="center"/>
        <w:rPr>
          <w:rFonts w:ascii="方正小标宋简体" w:hAnsi="方正小标宋简体" w:eastAsia="方正小标宋简体" w:cs="方正小标宋简体"/>
          <w:bCs/>
          <w:color w:val="auto"/>
          <w:kern w:val="0"/>
          <w:sz w:val="44"/>
          <w:szCs w:val="44"/>
          <w:shd w:val="clear" w:color="auto" w:fill="FFFFFF"/>
          <w:lang w:bidi="ar"/>
        </w:rPr>
      </w:pPr>
      <w:r>
        <w:rPr>
          <w:rFonts w:hint="eastAsia" w:ascii="方正小标宋简体" w:hAnsi="方正小标宋简体" w:eastAsia="方正小标宋简体" w:cs="方正小标宋简体"/>
          <w:bCs/>
          <w:color w:val="auto"/>
          <w:kern w:val="0"/>
          <w:sz w:val="44"/>
          <w:szCs w:val="44"/>
          <w:shd w:val="clear" w:color="auto" w:fill="FFFFFF"/>
          <w:lang w:bidi="ar"/>
        </w:rPr>
        <w:t>河源市普惠型商业补充医疗保险</w:t>
      </w:r>
      <w:r>
        <w:rPr>
          <w:rFonts w:hint="eastAsia" w:ascii="方正小标宋简体" w:hAnsi="方正小标宋简体" w:eastAsia="方正小标宋简体" w:cs="方正小标宋简体"/>
          <w:bCs/>
          <w:color w:val="auto"/>
          <w:kern w:val="0"/>
          <w:sz w:val="44"/>
          <w:szCs w:val="44"/>
          <w:shd w:val="clear" w:color="auto" w:fill="FFFFFF"/>
          <w:lang w:eastAsia="zh-CN" w:bidi="ar"/>
        </w:rPr>
        <w:t>承办</w:t>
      </w:r>
      <w:r>
        <w:rPr>
          <w:rFonts w:hint="eastAsia" w:ascii="方正小标宋简体" w:hAnsi="方正小标宋简体" w:eastAsia="方正小标宋简体" w:cs="方正小标宋简体"/>
          <w:bCs/>
          <w:color w:val="auto"/>
          <w:kern w:val="0"/>
          <w:sz w:val="44"/>
          <w:szCs w:val="44"/>
          <w:shd w:val="clear" w:color="auto" w:fill="FFFFFF"/>
          <w:lang w:bidi="ar"/>
        </w:rPr>
        <w:t>机构</w:t>
      </w:r>
    </w:p>
    <w:p>
      <w:pPr>
        <w:spacing w:line="640" w:lineRule="exact"/>
        <w:jc w:val="center"/>
        <w:rPr>
          <w:rFonts w:ascii="方正小标宋简体" w:hAnsi="方正小标宋简体" w:eastAsia="方正小标宋简体" w:cs="方正小标宋简体"/>
          <w:bCs/>
          <w:color w:val="auto"/>
          <w:kern w:val="0"/>
          <w:sz w:val="44"/>
          <w:szCs w:val="44"/>
          <w:shd w:val="clear" w:color="auto" w:fill="FFFFFF"/>
          <w:lang w:bidi="ar"/>
        </w:rPr>
      </w:pPr>
      <w:r>
        <w:rPr>
          <w:rFonts w:hint="eastAsia" w:ascii="方正小标宋简体" w:hAnsi="方正小标宋简体" w:eastAsia="方正小标宋简体" w:cs="方正小标宋简体"/>
          <w:bCs/>
          <w:color w:val="auto"/>
          <w:kern w:val="0"/>
          <w:sz w:val="44"/>
          <w:szCs w:val="44"/>
          <w:shd w:val="clear" w:color="auto" w:fill="FFFFFF"/>
          <w:lang w:bidi="ar"/>
        </w:rPr>
        <w:t>遴选标准</w:t>
      </w:r>
    </w:p>
    <w:p>
      <w:pPr>
        <w:spacing w:line="640" w:lineRule="exact"/>
        <w:jc w:val="center"/>
        <w:rPr>
          <w:rFonts w:ascii="方正小标宋简体" w:hAnsi="方正小标宋简体" w:eastAsia="方正小标宋简体" w:cs="方正小标宋简体"/>
          <w:bCs/>
          <w:color w:val="auto"/>
          <w:kern w:val="0"/>
          <w:sz w:val="44"/>
          <w:szCs w:val="44"/>
          <w:shd w:val="clear" w:color="auto" w:fill="FFFFFF"/>
          <w:lang w:bidi="ar"/>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黑体"/>
          <w:bCs/>
          <w:color w:val="auto"/>
          <w:kern w:val="0"/>
          <w:sz w:val="32"/>
          <w:szCs w:val="32"/>
          <w:shd w:val="clear" w:color="auto" w:fill="FFFFFF"/>
          <w:lang w:bidi="ar"/>
        </w:rPr>
      </w:pPr>
      <w:r>
        <w:rPr>
          <w:rFonts w:hint="eastAsia" w:ascii="黑体" w:hAnsi="黑体" w:eastAsia="黑体" w:cs="黑体"/>
          <w:bCs/>
          <w:color w:val="auto"/>
          <w:kern w:val="0"/>
          <w:sz w:val="32"/>
          <w:szCs w:val="32"/>
          <w:shd w:val="clear" w:color="auto" w:fill="FFFFFF"/>
          <w:lang w:bidi="ar"/>
        </w:rPr>
        <w:t>一、资格审查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sinsum" w:eastAsia="仿宋_GB2312" w:cs="仿宋_GB2312"/>
          <w:bCs/>
          <w:color w:val="auto"/>
          <w:kern w:val="0"/>
          <w:sz w:val="32"/>
          <w:szCs w:val="32"/>
          <w:shd w:val="clear" w:color="auto" w:fill="FFFFFF"/>
          <w:lang w:bidi="ar"/>
        </w:rPr>
      </w:pPr>
      <w:r>
        <w:rPr>
          <w:rFonts w:ascii="仿宋_GB2312" w:hAnsi="sinsum" w:eastAsia="仿宋_GB2312" w:cs="仿宋_GB2312"/>
          <w:bCs/>
          <w:color w:val="auto"/>
          <w:kern w:val="0"/>
          <w:sz w:val="32"/>
          <w:szCs w:val="32"/>
          <w:shd w:val="clear" w:color="auto" w:fill="FFFFFF"/>
          <w:lang w:bidi="ar"/>
        </w:rPr>
        <w:t>参加</w:t>
      </w:r>
      <w:r>
        <w:rPr>
          <w:rFonts w:hint="eastAsia" w:ascii="仿宋_GB2312" w:hAnsi="sinsum" w:eastAsia="仿宋_GB2312" w:cs="仿宋_GB2312"/>
          <w:bCs/>
          <w:color w:val="auto"/>
          <w:kern w:val="0"/>
          <w:sz w:val="32"/>
          <w:szCs w:val="32"/>
          <w:shd w:val="clear" w:color="auto" w:fill="FFFFFF"/>
          <w:lang w:bidi="ar"/>
        </w:rPr>
        <w:t>遴选</w:t>
      </w:r>
      <w:r>
        <w:rPr>
          <w:rFonts w:ascii="仿宋_GB2312" w:hAnsi="sinsum" w:eastAsia="仿宋_GB2312" w:cs="仿宋_GB2312"/>
          <w:bCs/>
          <w:color w:val="auto"/>
          <w:kern w:val="0"/>
          <w:sz w:val="32"/>
          <w:szCs w:val="32"/>
          <w:shd w:val="clear" w:color="auto" w:fill="FFFFFF"/>
          <w:lang w:bidi="ar"/>
        </w:rPr>
        <w:t>的商业保险公司应同时具备以下资格</w:t>
      </w:r>
      <w:r>
        <w:rPr>
          <w:rFonts w:hint="eastAsia" w:ascii="仿宋_GB2312" w:hAnsi="sinsum" w:eastAsia="仿宋_GB2312" w:cs="仿宋_GB2312"/>
          <w:bCs/>
          <w:color w:val="auto"/>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sinsum" w:eastAsia="仿宋_GB2312" w:cs="仿宋_GB2312"/>
          <w:bCs/>
          <w:color w:val="auto"/>
          <w:kern w:val="0"/>
          <w:sz w:val="32"/>
          <w:szCs w:val="32"/>
          <w:shd w:val="clear" w:color="auto" w:fill="FFFFFF"/>
          <w:lang w:bidi="ar"/>
        </w:rPr>
      </w:pPr>
      <w:r>
        <w:rPr>
          <w:rFonts w:hint="eastAsia" w:ascii="仿宋_GB2312" w:hAnsi="sinsum" w:eastAsia="仿宋_GB2312" w:cs="仿宋_GB2312"/>
          <w:bCs/>
          <w:color w:val="auto"/>
          <w:kern w:val="0"/>
          <w:sz w:val="32"/>
          <w:szCs w:val="32"/>
          <w:shd w:val="clear" w:color="auto" w:fill="FFFFFF"/>
          <w:lang w:bidi="ar"/>
        </w:rPr>
        <w:t>（一）</w:t>
      </w:r>
      <w:r>
        <w:rPr>
          <w:rFonts w:ascii="仿宋_GB2312" w:hAnsi="sinsum" w:eastAsia="仿宋_GB2312" w:cs="仿宋_GB2312"/>
          <w:bCs/>
          <w:color w:val="auto"/>
          <w:kern w:val="0"/>
          <w:sz w:val="32"/>
          <w:szCs w:val="32"/>
          <w:shd w:val="clear" w:color="auto" w:fill="FFFFFF"/>
          <w:lang w:bidi="ar"/>
        </w:rPr>
        <w:t>应由</w:t>
      </w:r>
      <w:r>
        <w:rPr>
          <w:rFonts w:hint="eastAsia" w:ascii="仿宋_GB2312" w:hAnsi="sinsum" w:eastAsia="仿宋_GB2312" w:cs="仿宋_GB2312"/>
          <w:bCs/>
          <w:color w:val="auto"/>
          <w:sz w:val="32"/>
          <w:szCs w:val="32"/>
          <w:shd w:val="clear" w:color="auto" w:fill="FFFFFF"/>
        </w:rPr>
        <w:t>国家金融监督管理总局</w:t>
      </w:r>
      <w:r>
        <w:rPr>
          <w:rFonts w:ascii="仿宋_GB2312" w:hAnsi="sinsum" w:eastAsia="仿宋_GB2312" w:cs="仿宋_GB2312"/>
          <w:bCs/>
          <w:color w:val="auto"/>
          <w:kern w:val="0"/>
          <w:sz w:val="32"/>
          <w:szCs w:val="32"/>
          <w:shd w:val="clear" w:color="auto" w:fill="FFFFFF"/>
          <w:lang w:bidi="ar"/>
        </w:rPr>
        <w:t>批准在中华人民共和国境内设立和营业，并依法持有</w:t>
      </w:r>
      <w:r>
        <w:rPr>
          <w:rFonts w:hint="eastAsia" w:ascii="仿宋_GB2312" w:hAnsi="sinsum" w:eastAsia="仿宋_GB2312" w:cs="仿宋_GB2312"/>
          <w:bCs/>
          <w:color w:val="auto"/>
          <w:sz w:val="32"/>
          <w:szCs w:val="32"/>
          <w:shd w:val="clear" w:color="auto" w:fill="FFFFFF"/>
        </w:rPr>
        <w:t>国家金融监督管理总局</w:t>
      </w:r>
      <w:r>
        <w:rPr>
          <w:rFonts w:ascii="仿宋_GB2312" w:hAnsi="sinsum" w:eastAsia="仿宋_GB2312" w:cs="仿宋_GB2312"/>
          <w:bCs/>
          <w:color w:val="auto"/>
          <w:kern w:val="0"/>
          <w:sz w:val="32"/>
          <w:szCs w:val="32"/>
          <w:shd w:val="clear" w:color="auto" w:fill="FFFFFF"/>
          <w:lang w:bidi="ar"/>
        </w:rPr>
        <w:t>颁发的《保险许可证》的商业保险公司，具有统一社会信用代码的营业执照，各类证件齐全</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提供保险许可证及营业执照、法定代表人身份证明等证明文件复印件</w:t>
      </w:r>
      <w:r>
        <w:rPr>
          <w:rFonts w:hint="eastAsia" w:ascii="仿宋_GB2312" w:hAnsi="sinsum" w:eastAsia="仿宋_GB2312" w:cs="仿宋_GB2312"/>
          <w:bCs/>
          <w:color w:val="auto"/>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sinsum" w:eastAsia="仿宋_GB2312" w:cs="仿宋_GB2312"/>
          <w:bCs/>
          <w:color w:val="auto"/>
          <w:kern w:val="0"/>
          <w:sz w:val="32"/>
          <w:szCs w:val="32"/>
          <w:shd w:val="clear" w:color="auto" w:fill="FFFFFF"/>
          <w:lang w:bidi="ar"/>
        </w:rPr>
      </w:pPr>
      <w:r>
        <w:rPr>
          <w:rFonts w:hint="eastAsia" w:ascii="仿宋_GB2312" w:hAnsi="sinsum" w:eastAsia="仿宋_GB2312" w:cs="仿宋_GB2312"/>
          <w:bCs/>
          <w:color w:val="auto"/>
          <w:kern w:val="0"/>
          <w:sz w:val="32"/>
          <w:szCs w:val="32"/>
          <w:shd w:val="clear" w:color="auto" w:fill="FFFFFF"/>
          <w:lang w:bidi="ar"/>
        </w:rPr>
        <w:t>（二）</w:t>
      </w:r>
      <w:r>
        <w:rPr>
          <w:rFonts w:ascii="仿宋_GB2312" w:hAnsi="sinsum" w:eastAsia="仿宋_GB2312" w:cs="仿宋_GB2312"/>
          <w:bCs/>
          <w:color w:val="auto"/>
          <w:kern w:val="0"/>
          <w:sz w:val="32"/>
          <w:szCs w:val="32"/>
          <w:shd w:val="clear" w:color="auto" w:fill="FFFFFF"/>
          <w:lang w:bidi="ar"/>
        </w:rPr>
        <w:t>参加本次</w:t>
      </w:r>
      <w:r>
        <w:rPr>
          <w:rFonts w:hint="eastAsia" w:ascii="仿宋_GB2312" w:hAnsi="sinsum" w:eastAsia="仿宋_GB2312" w:cs="仿宋_GB2312"/>
          <w:bCs/>
          <w:color w:val="auto"/>
          <w:kern w:val="0"/>
          <w:sz w:val="32"/>
          <w:szCs w:val="32"/>
          <w:shd w:val="clear" w:color="auto" w:fill="FFFFFF"/>
          <w:lang w:bidi="ar"/>
        </w:rPr>
        <w:t>遴选</w:t>
      </w:r>
      <w:r>
        <w:rPr>
          <w:rFonts w:ascii="仿宋_GB2312" w:hAnsi="sinsum" w:eastAsia="仿宋_GB2312" w:cs="仿宋_GB2312"/>
          <w:bCs/>
          <w:color w:val="auto"/>
          <w:kern w:val="0"/>
          <w:sz w:val="32"/>
          <w:szCs w:val="32"/>
          <w:shd w:val="clear" w:color="auto" w:fill="FFFFFF"/>
          <w:lang w:bidi="ar"/>
        </w:rPr>
        <w:t>前3年内在经营活动中没有重大违法违规记录,未发生重大违约事件</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提供书面声明原件</w:t>
      </w:r>
      <w:r>
        <w:rPr>
          <w:rFonts w:hint="eastAsia" w:ascii="仿宋_GB2312" w:hAnsi="sinsum" w:eastAsia="仿宋_GB2312" w:cs="仿宋_GB2312"/>
          <w:bCs/>
          <w:color w:val="auto"/>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sinsum" w:eastAsia="仿宋_GB2312" w:cs="仿宋_GB2312"/>
          <w:bCs/>
          <w:color w:val="auto"/>
          <w:kern w:val="0"/>
          <w:sz w:val="32"/>
          <w:szCs w:val="32"/>
          <w:shd w:val="clear" w:color="auto" w:fill="FFFFFF"/>
          <w:lang w:bidi="ar"/>
        </w:rPr>
      </w:pPr>
      <w:r>
        <w:rPr>
          <w:rFonts w:hint="eastAsia" w:ascii="仿宋_GB2312" w:hAnsi="sinsum" w:eastAsia="仿宋_GB2312" w:cs="仿宋_GB2312"/>
          <w:bCs/>
          <w:color w:val="auto"/>
          <w:kern w:val="0"/>
          <w:sz w:val="32"/>
          <w:szCs w:val="32"/>
          <w:shd w:val="clear" w:color="auto" w:fill="FFFFFF"/>
          <w:lang w:bidi="ar"/>
        </w:rPr>
        <w:t>（三）</w:t>
      </w:r>
      <w:r>
        <w:rPr>
          <w:rFonts w:ascii="仿宋_GB2312" w:hAnsi="sinsum" w:eastAsia="仿宋_GB2312" w:cs="仿宋_GB2312"/>
          <w:bCs/>
          <w:color w:val="auto"/>
          <w:kern w:val="0"/>
          <w:sz w:val="32"/>
          <w:szCs w:val="32"/>
          <w:shd w:val="clear" w:color="auto" w:fill="FFFFFF"/>
          <w:lang w:bidi="ar"/>
        </w:rPr>
        <w:t>未被列入</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信用中国</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网站</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记录失信被执行人或重大税收违法案件当事人名单或政府采购严重违法失信行为</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记录名单</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不处于中国政府采购网</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政府采购严重违法失信行为信息记录</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中的禁止参加政府采购活动期间</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不需要提供证明材料，</w:t>
      </w:r>
      <w:r>
        <w:rPr>
          <w:rFonts w:hint="eastAsia" w:ascii="仿宋_GB2312" w:hAnsi="sinsum" w:eastAsia="仿宋_GB2312" w:cs="仿宋_GB2312"/>
          <w:bCs/>
          <w:color w:val="auto"/>
          <w:kern w:val="0"/>
          <w:sz w:val="32"/>
          <w:szCs w:val="32"/>
          <w:shd w:val="clear" w:color="auto" w:fill="FFFFFF"/>
          <w:lang w:bidi="ar"/>
        </w:rPr>
        <w:t>遴选</w:t>
      </w:r>
      <w:r>
        <w:rPr>
          <w:rFonts w:ascii="仿宋_GB2312" w:hAnsi="sinsum" w:eastAsia="仿宋_GB2312" w:cs="仿宋_GB2312"/>
          <w:bCs/>
          <w:color w:val="auto"/>
          <w:kern w:val="0"/>
          <w:sz w:val="32"/>
          <w:szCs w:val="32"/>
          <w:shd w:val="clear" w:color="auto" w:fill="FFFFFF"/>
          <w:lang w:bidi="ar"/>
        </w:rPr>
        <w:t>小组于</w:t>
      </w:r>
      <w:r>
        <w:rPr>
          <w:rFonts w:hint="eastAsia" w:ascii="仿宋_GB2312" w:hAnsi="sinsum" w:eastAsia="仿宋_GB2312" w:cs="仿宋_GB2312"/>
          <w:bCs/>
          <w:color w:val="auto"/>
          <w:kern w:val="0"/>
          <w:sz w:val="32"/>
          <w:szCs w:val="32"/>
          <w:shd w:val="clear" w:color="auto" w:fill="FFFFFF"/>
          <w:lang w:bidi="ar"/>
        </w:rPr>
        <w:t>遴选</w:t>
      </w:r>
      <w:r>
        <w:rPr>
          <w:rFonts w:ascii="仿宋_GB2312" w:hAnsi="sinsum" w:eastAsia="仿宋_GB2312" w:cs="仿宋_GB2312"/>
          <w:bCs/>
          <w:color w:val="auto"/>
          <w:kern w:val="0"/>
          <w:sz w:val="32"/>
          <w:szCs w:val="32"/>
          <w:shd w:val="clear" w:color="auto" w:fill="FFFFFF"/>
          <w:lang w:bidi="ar"/>
        </w:rPr>
        <w:t>当天查询商业保险公司的信用记录</w:t>
      </w:r>
      <w:r>
        <w:rPr>
          <w:rFonts w:hint="eastAsia" w:ascii="仿宋_GB2312" w:hAnsi="sinsum" w:eastAsia="仿宋_GB2312" w:cs="仿宋_GB2312"/>
          <w:bCs/>
          <w:color w:val="auto"/>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sinsum" w:eastAsia="仿宋_GB2312" w:cs="仿宋_GB2312"/>
          <w:bCs/>
          <w:color w:val="auto"/>
          <w:kern w:val="0"/>
          <w:sz w:val="32"/>
          <w:szCs w:val="32"/>
          <w:shd w:val="clear" w:color="auto" w:fill="FFFFFF"/>
          <w:lang w:bidi="ar"/>
        </w:rPr>
      </w:pPr>
      <w:r>
        <w:rPr>
          <w:rFonts w:hint="eastAsia" w:ascii="仿宋_GB2312" w:hAnsi="sinsum" w:eastAsia="仿宋_GB2312" w:cs="仿宋_GB2312"/>
          <w:bCs/>
          <w:color w:val="auto"/>
          <w:kern w:val="0"/>
          <w:sz w:val="32"/>
          <w:szCs w:val="32"/>
          <w:shd w:val="clear" w:color="auto" w:fill="FFFFFF"/>
          <w:lang w:bidi="ar"/>
        </w:rPr>
        <w:t>（四）</w:t>
      </w:r>
      <w:r>
        <w:rPr>
          <w:rFonts w:ascii="仿宋_GB2312" w:hAnsi="sinsum" w:eastAsia="仿宋_GB2312" w:cs="仿宋_GB2312"/>
          <w:bCs/>
          <w:color w:val="auto"/>
          <w:kern w:val="0"/>
          <w:sz w:val="32"/>
          <w:szCs w:val="32"/>
          <w:shd w:val="clear" w:color="auto" w:fill="FFFFFF"/>
          <w:lang w:bidi="ar"/>
        </w:rPr>
        <w:t>本项目允许总公司授权其</w:t>
      </w:r>
      <w:r>
        <w:rPr>
          <w:rFonts w:hint="eastAsia" w:ascii="仿宋_GB2312" w:hAnsi="sinsum" w:eastAsia="仿宋_GB2312" w:cs="仿宋_GB2312"/>
          <w:bCs/>
          <w:color w:val="auto"/>
          <w:kern w:val="0"/>
          <w:sz w:val="32"/>
          <w:szCs w:val="32"/>
          <w:shd w:val="clear" w:color="auto" w:fill="FFFFFF"/>
          <w:lang w:val="en-US" w:eastAsia="zh-CN" w:bidi="ar"/>
        </w:rPr>
        <w:t>地市级分支机构</w:t>
      </w:r>
      <w:r>
        <w:rPr>
          <w:rFonts w:ascii="仿宋_GB2312" w:hAnsi="sinsum" w:eastAsia="仿宋_GB2312" w:cs="仿宋_GB2312"/>
          <w:bCs/>
          <w:color w:val="auto"/>
          <w:kern w:val="0"/>
          <w:sz w:val="32"/>
          <w:szCs w:val="32"/>
          <w:shd w:val="clear" w:color="auto" w:fill="FFFFFF"/>
          <w:lang w:bidi="ar"/>
        </w:rPr>
        <w:t>参与本项目</w:t>
      </w:r>
      <w:r>
        <w:rPr>
          <w:rFonts w:hint="eastAsia" w:ascii="仿宋_GB2312" w:hAnsi="sinsum" w:eastAsia="仿宋_GB2312" w:cs="仿宋_GB2312"/>
          <w:bCs/>
          <w:color w:val="auto"/>
          <w:kern w:val="0"/>
          <w:sz w:val="32"/>
          <w:szCs w:val="32"/>
          <w:shd w:val="clear" w:color="auto" w:fill="FFFFFF"/>
          <w:lang w:bidi="ar"/>
        </w:rPr>
        <w:t>遴选</w:t>
      </w:r>
      <w:r>
        <w:rPr>
          <w:rFonts w:ascii="仿宋_GB2312" w:hAnsi="sinsum" w:eastAsia="仿宋_GB2312" w:cs="仿宋_GB2312"/>
          <w:bCs/>
          <w:color w:val="auto"/>
          <w:kern w:val="0"/>
          <w:sz w:val="32"/>
          <w:szCs w:val="32"/>
          <w:shd w:val="clear" w:color="auto" w:fill="FFFFFF"/>
          <w:lang w:bidi="ar"/>
        </w:rPr>
        <w:t>，授权书必须明确具体授权事项，包括明确本次</w:t>
      </w:r>
      <w:r>
        <w:rPr>
          <w:rFonts w:hint="eastAsia" w:ascii="仿宋_GB2312" w:hAnsi="sinsum" w:eastAsia="仿宋_GB2312" w:cs="仿宋_GB2312"/>
          <w:bCs/>
          <w:color w:val="auto"/>
          <w:kern w:val="0"/>
          <w:sz w:val="32"/>
          <w:szCs w:val="32"/>
          <w:shd w:val="clear" w:color="auto" w:fill="FFFFFF"/>
          <w:lang w:bidi="ar"/>
        </w:rPr>
        <w:t>遴选</w:t>
      </w:r>
      <w:r>
        <w:rPr>
          <w:rFonts w:ascii="仿宋_GB2312" w:hAnsi="sinsum" w:eastAsia="仿宋_GB2312" w:cs="仿宋_GB2312"/>
          <w:bCs/>
          <w:color w:val="auto"/>
          <w:kern w:val="0"/>
          <w:sz w:val="32"/>
          <w:szCs w:val="32"/>
          <w:shd w:val="clear" w:color="auto" w:fill="FFFFFF"/>
          <w:lang w:bidi="ar"/>
        </w:rPr>
        <w:t>的印章</w:t>
      </w:r>
      <w:r>
        <w:rPr>
          <w:rFonts w:hint="eastAsia" w:ascii="仿宋_GB2312" w:hAnsi="sinsum" w:eastAsia="仿宋_GB2312" w:cs="仿宋_GB2312"/>
          <w:bCs/>
          <w:color w:val="auto"/>
          <w:kern w:val="0"/>
          <w:sz w:val="32"/>
          <w:szCs w:val="32"/>
          <w:shd w:val="clear" w:color="auto" w:fill="FFFFFF"/>
          <w:lang w:eastAsia="zh-CN" w:bidi="ar"/>
        </w:rPr>
        <w:t>（</w:t>
      </w:r>
      <w:r>
        <w:rPr>
          <w:rFonts w:hint="eastAsia" w:ascii="仿宋_GB2312" w:hAnsi="sinsum" w:eastAsia="仿宋_GB2312" w:cs="仿宋_GB2312"/>
          <w:bCs/>
          <w:color w:val="auto"/>
          <w:kern w:val="0"/>
          <w:sz w:val="32"/>
          <w:szCs w:val="32"/>
          <w:shd w:val="clear" w:color="auto" w:fill="FFFFFF"/>
          <w:lang w:val="en-US" w:eastAsia="zh-CN" w:bidi="ar"/>
        </w:rPr>
        <w:t>电子印章</w:t>
      </w:r>
      <w:r>
        <w:rPr>
          <w:rFonts w:hint="eastAsia" w:ascii="仿宋_GB2312" w:hAnsi="sinsum" w:eastAsia="仿宋_GB2312" w:cs="仿宋_GB2312"/>
          <w:bCs/>
          <w:color w:val="auto"/>
          <w:kern w:val="0"/>
          <w:sz w:val="32"/>
          <w:szCs w:val="32"/>
          <w:shd w:val="clear" w:color="auto" w:fill="FFFFFF"/>
          <w:lang w:eastAsia="zh-CN" w:bidi="ar"/>
        </w:rPr>
        <w:t>）</w:t>
      </w:r>
      <w:r>
        <w:rPr>
          <w:rFonts w:ascii="仿宋_GB2312" w:hAnsi="sinsum" w:eastAsia="仿宋_GB2312" w:cs="仿宋_GB2312"/>
          <w:bCs/>
          <w:color w:val="auto"/>
          <w:kern w:val="0"/>
          <w:sz w:val="32"/>
          <w:szCs w:val="32"/>
          <w:shd w:val="clear" w:color="auto" w:fill="FFFFFF"/>
          <w:lang w:bidi="ar"/>
        </w:rPr>
        <w:t>、合同签署及其它商务活动</w:t>
      </w:r>
      <w:r>
        <w:rPr>
          <w:rFonts w:hint="eastAsia" w:ascii="仿宋_GB2312" w:hAnsi="sinsum" w:eastAsia="仿宋_GB2312" w:cs="仿宋_GB2312"/>
          <w:bCs/>
          <w:color w:val="auto"/>
          <w:kern w:val="0"/>
          <w:sz w:val="32"/>
          <w:szCs w:val="32"/>
          <w:shd w:val="clear" w:color="auto" w:fill="FFFFFF"/>
          <w:lang w:bidi="ar"/>
        </w:rPr>
        <w:t>（</w:t>
      </w:r>
      <w:r>
        <w:rPr>
          <w:rFonts w:ascii="仿宋_GB2312" w:hAnsi="sinsum" w:eastAsia="仿宋_GB2312" w:cs="仿宋_GB2312"/>
          <w:bCs/>
          <w:color w:val="auto"/>
          <w:kern w:val="0"/>
          <w:sz w:val="32"/>
          <w:szCs w:val="32"/>
          <w:shd w:val="clear" w:color="auto" w:fill="FFFFFF"/>
          <w:lang w:bidi="ar"/>
        </w:rPr>
        <w:t>提供总公司授权书原件</w:t>
      </w:r>
      <w:r>
        <w:rPr>
          <w:rFonts w:hint="eastAsia" w:ascii="仿宋_GB2312" w:hAnsi="sinsum" w:eastAsia="仿宋_GB2312" w:cs="仿宋_GB2312"/>
          <w:bCs/>
          <w:color w:val="auto"/>
          <w:kern w:val="0"/>
          <w:sz w:val="32"/>
          <w:szCs w:val="32"/>
          <w:shd w:val="clear" w:color="auto" w:fill="FFFFFF"/>
          <w:lang w:bidi="ar"/>
        </w:rPr>
        <w:t>）</w:t>
      </w:r>
      <w:r>
        <w:rPr>
          <w:rFonts w:hint="eastAsia" w:ascii="仿宋_GB2312" w:hAnsi="sinsum" w:eastAsia="仿宋_GB2312" w:cs="仿宋_GB2312"/>
          <w:bCs/>
          <w:color w:val="auto"/>
          <w:kern w:val="0"/>
          <w:sz w:val="32"/>
          <w:szCs w:val="32"/>
          <w:shd w:val="clear" w:color="auto" w:fill="FFFFFF"/>
          <w:lang w:eastAsia="zh-CN" w:bidi="ar"/>
        </w:rPr>
        <w:t>，</w:t>
      </w:r>
      <w:r>
        <w:rPr>
          <w:rFonts w:hint="eastAsia" w:ascii="仿宋_GB2312" w:hAnsi="sinsum" w:eastAsia="仿宋_GB2312" w:cs="仿宋_GB2312"/>
          <w:bCs/>
          <w:color w:val="auto"/>
          <w:kern w:val="0"/>
          <w:sz w:val="32"/>
          <w:szCs w:val="32"/>
          <w:shd w:val="clear" w:color="auto" w:fill="FFFFFF"/>
          <w:lang w:val="en-US" w:eastAsia="zh-CN" w:bidi="ar"/>
        </w:rPr>
        <w:t>此项资料可在中选后补充</w:t>
      </w:r>
      <w:r>
        <w:rPr>
          <w:rFonts w:hint="eastAsia" w:ascii="仿宋_GB2312" w:hAnsi="sinsum" w:eastAsia="仿宋_GB2312" w:cs="仿宋_GB2312"/>
          <w:bCs/>
          <w:color w:val="auto"/>
          <w:kern w:val="0"/>
          <w:sz w:val="32"/>
          <w:szCs w:val="32"/>
          <w:shd w:val="clear" w:color="auto" w:fill="FFFFFF"/>
          <w:lang w:bidi="ar"/>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sinsum" w:eastAsia="仿宋_GB2312" w:cs="仿宋_GB2312"/>
          <w:bCs/>
          <w:color w:val="auto"/>
          <w:kern w:val="0"/>
          <w:sz w:val="32"/>
          <w:szCs w:val="32"/>
          <w:shd w:val="clear" w:color="auto" w:fill="FFFFFF"/>
          <w:lang w:bidi="ar"/>
        </w:rPr>
      </w:pPr>
      <w:r>
        <w:rPr>
          <w:rFonts w:hint="eastAsia" w:ascii="仿宋_GB2312" w:hAnsi="sinsum" w:eastAsia="仿宋_GB2312" w:cs="仿宋_GB2312"/>
          <w:bCs/>
          <w:color w:val="auto"/>
          <w:kern w:val="0"/>
          <w:sz w:val="32"/>
          <w:szCs w:val="32"/>
          <w:shd w:val="clear" w:color="auto" w:fill="FFFFFF"/>
          <w:lang w:bidi="ar"/>
        </w:rPr>
        <w:t>（五）</w:t>
      </w:r>
      <w:r>
        <w:rPr>
          <w:rFonts w:ascii="仿宋_GB2312" w:hAnsi="sinsum" w:eastAsia="仿宋_GB2312" w:cs="仿宋_GB2312"/>
          <w:bCs/>
          <w:color w:val="auto"/>
          <w:kern w:val="0"/>
          <w:sz w:val="32"/>
          <w:szCs w:val="32"/>
          <w:shd w:val="clear" w:color="auto" w:fill="FFFFFF"/>
          <w:lang w:bidi="ar"/>
        </w:rPr>
        <w:t>本项目不接受联合体申请。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ascii="黑体" w:hAnsi="黑体" w:eastAsia="黑体" w:cs="黑体"/>
          <w:bCs/>
          <w:color w:val="auto"/>
          <w:kern w:val="0"/>
          <w:sz w:val="32"/>
          <w:szCs w:val="32"/>
          <w:shd w:val="clear" w:color="auto" w:fill="FFFFFF"/>
          <w:lang w:bidi="ar"/>
        </w:rPr>
      </w:pPr>
      <w:r>
        <w:rPr>
          <w:rFonts w:hint="eastAsia" w:ascii="黑体" w:hAnsi="黑体" w:eastAsia="黑体" w:cs="黑体"/>
          <w:bCs/>
          <w:color w:val="auto"/>
          <w:kern w:val="0"/>
          <w:sz w:val="32"/>
          <w:szCs w:val="32"/>
          <w:shd w:val="clear" w:color="auto" w:fill="FFFFFF"/>
          <w:lang w:bidi="ar"/>
        </w:rPr>
        <w:t>二、综合评价</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小标宋简体" w:hAnsi="方正小标宋简体" w:eastAsia="方正小标宋简体" w:cs="方正小标宋简体"/>
          <w:bCs/>
          <w:color w:val="auto"/>
          <w:kern w:val="0"/>
          <w:sz w:val="44"/>
          <w:szCs w:val="44"/>
          <w:shd w:val="clear" w:color="auto" w:fill="FFFFFF"/>
          <w:lang w:val="en-US" w:eastAsia="zh-CN" w:bidi="ar"/>
        </w:rPr>
      </w:pPr>
      <w:r>
        <w:rPr>
          <w:rFonts w:ascii="仿宋_GB2312" w:hAnsi="sinsum" w:eastAsia="仿宋_GB2312" w:cs="仿宋_GB2312"/>
          <w:bCs/>
          <w:color w:val="auto"/>
          <w:kern w:val="0"/>
          <w:sz w:val="32"/>
          <w:szCs w:val="32"/>
          <w:shd w:val="clear" w:color="auto" w:fill="FFFFFF"/>
          <w:lang w:bidi="ar"/>
        </w:rPr>
        <w:t>提交的资料全部满足上述资格审查及承诺事项审查所列各项要求的，方可进入综合评价评审</w:t>
      </w:r>
      <w:r>
        <w:rPr>
          <w:rFonts w:hint="eastAsia" w:ascii="仿宋_GB2312" w:hAnsi="sinsum" w:eastAsia="仿宋_GB2312" w:cs="仿宋_GB2312"/>
          <w:bCs/>
          <w:color w:val="auto"/>
          <w:kern w:val="0"/>
          <w:sz w:val="32"/>
          <w:szCs w:val="32"/>
          <w:shd w:val="clear" w:color="auto" w:fill="FFFFFF"/>
          <w:lang w:eastAsia="zh-CN" w:bidi="ar"/>
        </w:rPr>
        <w:t>，</w:t>
      </w:r>
      <w:r>
        <w:rPr>
          <w:rFonts w:hint="eastAsia" w:ascii="仿宋_GB2312" w:hAnsi="sinsum" w:eastAsia="仿宋_GB2312" w:cs="仿宋_GB2312"/>
          <w:bCs/>
          <w:color w:val="auto"/>
          <w:kern w:val="0"/>
          <w:sz w:val="32"/>
          <w:szCs w:val="32"/>
          <w:shd w:val="clear" w:color="auto" w:fill="FFFFFF"/>
          <w:lang w:val="en-US" w:eastAsia="zh-CN" w:bidi="ar"/>
        </w:rPr>
        <w:t>具体商务评估和技术评估评分标准（见下表）</w:t>
      </w:r>
      <w:r>
        <w:rPr>
          <w:rFonts w:hint="eastAsia" w:ascii="仿宋_GB2312" w:hAnsi="sinsum" w:eastAsia="仿宋_GB2312" w:cs="仿宋_GB2312"/>
          <w:bCs/>
          <w:color w:val="auto"/>
          <w:kern w:val="0"/>
          <w:sz w:val="32"/>
          <w:szCs w:val="32"/>
          <w:shd w:val="clear" w:color="auto" w:fill="FFFFFF"/>
          <w:lang w:bidi="ar"/>
        </w:rPr>
        <w:t>。</w:t>
      </w:r>
    </w:p>
    <w:p>
      <w:pPr>
        <w:numPr>
          <w:ilvl w:val="0"/>
          <w:numId w:val="0"/>
        </w:numPr>
        <w:spacing w:line="560" w:lineRule="exact"/>
        <w:jc w:val="center"/>
        <w:rPr>
          <w:rFonts w:hint="eastAsia" w:ascii="方正小标宋简体" w:hAnsi="方正小标宋简体" w:eastAsia="方正小标宋简体" w:cs="方正小标宋简体"/>
          <w:bCs/>
          <w:color w:val="auto"/>
          <w:kern w:val="0"/>
          <w:sz w:val="44"/>
          <w:szCs w:val="44"/>
          <w:shd w:val="clear" w:color="auto" w:fill="FFFFFF"/>
          <w:lang w:val="en-US" w:eastAsia="zh-CN" w:bidi="ar"/>
        </w:rPr>
      </w:pPr>
    </w:p>
    <w:p>
      <w:pPr>
        <w:numPr>
          <w:ilvl w:val="0"/>
          <w:numId w:val="0"/>
        </w:numPr>
        <w:spacing w:line="560" w:lineRule="exact"/>
        <w:jc w:val="center"/>
        <w:rPr>
          <w:rFonts w:hint="eastAsia" w:ascii="方正小标宋简体" w:hAnsi="方正小标宋简体" w:eastAsia="方正小标宋简体" w:cs="方正小标宋简体"/>
          <w:bCs/>
          <w:color w:val="auto"/>
          <w:kern w:val="0"/>
          <w:sz w:val="44"/>
          <w:szCs w:val="44"/>
          <w:shd w:val="clear" w:color="auto" w:fill="FFFFFF"/>
          <w:lang w:val="en-US" w:eastAsia="zh-CN" w:bidi="ar"/>
        </w:rPr>
      </w:pPr>
      <w:r>
        <w:rPr>
          <w:rFonts w:hint="eastAsia" w:ascii="方正小标宋简体" w:hAnsi="方正小标宋简体" w:eastAsia="方正小标宋简体" w:cs="方正小标宋简体"/>
          <w:bCs/>
          <w:color w:val="auto"/>
          <w:kern w:val="0"/>
          <w:sz w:val="44"/>
          <w:szCs w:val="44"/>
          <w:shd w:val="clear" w:color="auto" w:fill="FFFFFF"/>
          <w:lang w:val="en-US" w:eastAsia="zh-CN" w:bidi="ar"/>
        </w:rPr>
        <w:t>评分标准</w:t>
      </w:r>
    </w:p>
    <w:p>
      <w:pPr>
        <w:numPr>
          <w:ilvl w:val="0"/>
          <w:numId w:val="0"/>
        </w:numPr>
        <w:spacing w:line="560" w:lineRule="exact"/>
        <w:rPr>
          <w:rFonts w:hint="eastAsia" w:ascii="仿宋_GB2312" w:hAnsi="sinsum" w:eastAsia="仿宋_GB2312" w:cs="仿宋_GB2312"/>
          <w:bCs/>
          <w:color w:val="auto"/>
          <w:kern w:val="0"/>
          <w:sz w:val="32"/>
          <w:szCs w:val="32"/>
          <w:shd w:val="clear" w:color="auto" w:fill="FFFFFF"/>
          <w:lang w:bidi="ar"/>
        </w:rPr>
      </w:pPr>
      <w:r>
        <w:rPr>
          <w:rFonts w:hint="eastAsia" w:ascii="仿宋_GB2312" w:hAnsi="sinsum" w:eastAsia="仿宋_GB2312" w:cs="仿宋_GB2312"/>
          <w:bCs/>
          <w:color w:val="auto"/>
          <w:kern w:val="0"/>
          <w:sz w:val="32"/>
          <w:szCs w:val="32"/>
          <w:shd w:val="clear" w:color="auto" w:fill="FFFFFF"/>
          <w:lang w:eastAsia="zh-CN" w:bidi="ar"/>
        </w:rPr>
        <w:t>（</w:t>
      </w:r>
      <w:r>
        <w:rPr>
          <w:rFonts w:hint="eastAsia" w:ascii="仿宋_GB2312" w:hAnsi="sinsum" w:eastAsia="仿宋_GB2312" w:cs="仿宋_GB2312"/>
          <w:bCs/>
          <w:color w:val="auto"/>
          <w:kern w:val="0"/>
          <w:sz w:val="32"/>
          <w:szCs w:val="32"/>
          <w:shd w:val="clear" w:color="auto" w:fill="FFFFFF"/>
          <w:lang w:val="en-US" w:eastAsia="zh-CN" w:bidi="ar"/>
        </w:rPr>
        <w:t>一</w:t>
      </w:r>
      <w:r>
        <w:rPr>
          <w:rFonts w:hint="eastAsia" w:ascii="仿宋_GB2312" w:hAnsi="sinsum" w:eastAsia="仿宋_GB2312" w:cs="仿宋_GB2312"/>
          <w:bCs/>
          <w:color w:val="auto"/>
          <w:kern w:val="0"/>
          <w:sz w:val="32"/>
          <w:szCs w:val="32"/>
          <w:shd w:val="clear" w:color="auto" w:fill="FFFFFF"/>
          <w:lang w:eastAsia="zh-CN" w:bidi="ar"/>
        </w:rPr>
        <w:t>）</w:t>
      </w:r>
      <w:r>
        <w:rPr>
          <w:rFonts w:ascii="仿宋_GB2312" w:hAnsi="sinsum" w:eastAsia="仿宋_GB2312" w:cs="仿宋_GB2312"/>
          <w:bCs/>
          <w:color w:val="auto"/>
          <w:kern w:val="0"/>
          <w:sz w:val="32"/>
          <w:szCs w:val="32"/>
          <w:shd w:val="clear" w:color="auto" w:fill="FFFFFF"/>
          <w:lang w:bidi="ar"/>
        </w:rPr>
        <w:t xml:space="preserve">商务评估 </w:t>
      </w:r>
      <w:r>
        <w:rPr>
          <w:rFonts w:hint="eastAsia" w:ascii="仿宋_GB2312" w:hAnsi="sinsum" w:eastAsia="仿宋_GB2312" w:cs="仿宋_GB2312"/>
          <w:bCs/>
          <w:color w:val="auto"/>
          <w:kern w:val="0"/>
          <w:sz w:val="32"/>
          <w:szCs w:val="32"/>
          <w:shd w:val="clear" w:color="auto" w:fill="FFFFFF"/>
          <w:lang w:bidi="ar"/>
        </w:rPr>
        <w:t>（</w:t>
      </w:r>
      <w:r>
        <w:rPr>
          <w:rFonts w:hint="eastAsia" w:ascii="仿宋_GB2312" w:hAnsi="sinsum" w:eastAsia="仿宋_GB2312" w:cs="仿宋_GB2312"/>
          <w:bCs/>
          <w:color w:val="auto"/>
          <w:kern w:val="0"/>
          <w:sz w:val="32"/>
          <w:szCs w:val="32"/>
          <w:shd w:val="clear" w:color="auto" w:fill="FFFFFF"/>
          <w:lang w:val="en-US" w:eastAsia="zh-CN" w:bidi="ar"/>
        </w:rPr>
        <w:t>60</w:t>
      </w:r>
      <w:r>
        <w:rPr>
          <w:rFonts w:hint="eastAsia" w:ascii="仿宋_GB2312" w:hAnsi="sinsum" w:eastAsia="仿宋_GB2312" w:cs="仿宋_GB2312"/>
          <w:bCs/>
          <w:color w:val="auto"/>
          <w:kern w:val="0"/>
          <w:sz w:val="32"/>
          <w:szCs w:val="32"/>
          <w:shd w:val="clear" w:color="auto" w:fill="FFFFFF"/>
          <w:lang w:bidi="ar"/>
        </w:rPr>
        <w:t>分）</w:t>
      </w:r>
    </w:p>
    <w:tbl>
      <w:tblPr>
        <w:tblStyle w:val="8"/>
        <w:tblW w:w="10130"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636"/>
        <w:gridCol w:w="7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090" w:type="dxa"/>
          </w:tcPr>
          <w:p>
            <w:pPr>
              <w:spacing w:line="560" w:lineRule="exact"/>
              <w:jc w:val="center"/>
              <w:rPr>
                <w:rFonts w:ascii="黑体" w:hAnsi="黑体" w:eastAsia="黑体" w:cs="黑体"/>
                <w:bCs/>
                <w:color w:val="auto"/>
                <w:kern w:val="0"/>
                <w:sz w:val="24"/>
                <w:shd w:val="clear" w:color="auto" w:fill="FFFFFF"/>
                <w:lang w:bidi="ar"/>
              </w:rPr>
            </w:pPr>
            <w:r>
              <w:rPr>
                <w:rFonts w:hint="eastAsia" w:ascii="黑体" w:hAnsi="黑体" w:eastAsia="黑体" w:cs="黑体"/>
                <w:bCs/>
                <w:color w:val="auto"/>
                <w:kern w:val="0"/>
                <w:sz w:val="24"/>
                <w:shd w:val="clear" w:color="auto" w:fill="FFFFFF"/>
                <w:lang w:bidi="ar"/>
              </w:rPr>
              <w:t>项目</w:t>
            </w:r>
          </w:p>
        </w:tc>
        <w:tc>
          <w:tcPr>
            <w:tcW w:w="1636" w:type="dxa"/>
          </w:tcPr>
          <w:p>
            <w:pPr>
              <w:spacing w:line="560" w:lineRule="exact"/>
              <w:jc w:val="center"/>
              <w:rPr>
                <w:rFonts w:ascii="黑体" w:hAnsi="黑体" w:eastAsia="黑体" w:cs="黑体"/>
                <w:bCs/>
                <w:color w:val="auto"/>
                <w:kern w:val="0"/>
                <w:sz w:val="24"/>
                <w:shd w:val="clear" w:color="auto" w:fill="FFFFFF"/>
                <w:lang w:bidi="ar"/>
              </w:rPr>
            </w:pPr>
            <w:r>
              <w:rPr>
                <w:rFonts w:hint="eastAsia" w:ascii="黑体" w:hAnsi="黑体" w:eastAsia="黑体" w:cs="黑体"/>
                <w:bCs/>
                <w:color w:val="auto"/>
                <w:kern w:val="0"/>
                <w:sz w:val="24"/>
                <w:shd w:val="clear" w:color="auto" w:fill="FFFFFF"/>
                <w:lang w:bidi="ar"/>
              </w:rPr>
              <w:t>评分内容</w:t>
            </w:r>
          </w:p>
        </w:tc>
        <w:tc>
          <w:tcPr>
            <w:tcW w:w="7404" w:type="dxa"/>
          </w:tcPr>
          <w:p>
            <w:pPr>
              <w:spacing w:line="560" w:lineRule="exact"/>
              <w:jc w:val="center"/>
              <w:rPr>
                <w:rFonts w:ascii="黑体" w:hAnsi="黑体" w:eastAsia="黑体" w:cs="黑体"/>
                <w:bCs/>
                <w:color w:val="auto"/>
                <w:kern w:val="0"/>
                <w:sz w:val="24"/>
                <w:shd w:val="clear" w:color="auto" w:fill="FFFFFF"/>
                <w:lang w:bidi="ar"/>
              </w:rPr>
            </w:pPr>
            <w:r>
              <w:rPr>
                <w:rFonts w:hint="eastAsia" w:ascii="黑体" w:hAnsi="黑体" w:eastAsia="黑体" w:cs="黑体"/>
                <w:bCs/>
                <w:color w:val="auto"/>
                <w:kern w:val="0"/>
                <w:sz w:val="24"/>
                <w:shd w:val="clear" w:color="auto" w:fill="FFFFFF"/>
                <w:lang w:bidi="ar"/>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1090" w:type="dxa"/>
            <w:vMerge w:val="restart"/>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偿付能力(10分)</w:t>
            </w:r>
          </w:p>
        </w:tc>
        <w:tc>
          <w:tcPr>
            <w:tcW w:w="1636"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综合偿付能力充足率（8分）</w:t>
            </w:r>
          </w:p>
        </w:tc>
        <w:tc>
          <w:tcPr>
            <w:tcW w:w="7404" w:type="dxa"/>
            <w:vAlign w:val="top"/>
          </w:tcPr>
          <w:p>
            <w:pPr>
              <w:keepNext w:val="0"/>
              <w:keepLines w:val="0"/>
              <w:widowControl/>
              <w:suppressLineNumbers w:val="0"/>
              <w:jc w:val="left"/>
              <w:textAlignment w:val="top"/>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以中国保险行业协会偿付能力信息披露栏目中，各公司的总公司公布的2025年度第四季度偿付能力报告为依据，以综合偿付能力充足率100%为基准：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100%(含)-150%，得1分；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150%(含)-200%，得3分;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200%(含)-250%，得6分；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250%(含)以上，得8分。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090" w:type="dxa"/>
            <w:vMerge w:val="continue"/>
            <w:vAlign w:val="center"/>
          </w:tcPr>
          <w:p>
            <w:pPr>
              <w:jc w:val="center"/>
              <w:rPr>
                <w:rFonts w:hint="eastAsia" w:ascii="仿宋" w:hAnsi="仿宋" w:eastAsia="仿宋" w:cs="仿宋"/>
                <w:bCs w:val="0"/>
                <w:color w:val="auto"/>
                <w:kern w:val="2"/>
                <w:sz w:val="24"/>
                <w:szCs w:val="24"/>
                <w:highlight w:val="none"/>
                <w:shd w:val="clear" w:color="auto" w:fill="auto"/>
                <w:lang w:bidi="ar"/>
              </w:rPr>
            </w:pPr>
          </w:p>
        </w:tc>
        <w:tc>
          <w:tcPr>
            <w:tcW w:w="1636"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风险综合评级(2分)</w:t>
            </w:r>
          </w:p>
        </w:tc>
        <w:tc>
          <w:tcPr>
            <w:tcW w:w="7404" w:type="dxa"/>
            <w:vAlign w:val="top"/>
          </w:tcPr>
          <w:p>
            <w:pPr>
              <w:keepNext w:val="0"/>
              <w:keepLines w:val="0"/>
              <w:widowControl/>
              <w:suppressLineNumbers w:val="0"/>
              <w:jc w:val="left"/>
              <w:textAlignment w:val="top"/>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以中国保险行业协会偿付能力信息披露栏目中各公司的总公司公布的2025年度第四季度偿付能力报告为依据，在参评的同类型(人身险公司、财产险公司) 商业保险公司中，评级A级及以上的得2分，其余1分。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0" w:type="dxa"/>
            <w:vMerge w:val="restart"/>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政府项目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合作经验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(20分)</w:t>
            </w:r>
          </w:p>
        </w:tc>
        <w:tc>
          <w:tcPr>
            <w:tcW w:w="1636"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重大疾病医疗保险保障类项目经验(含职工大病、城乡居民大病项目)(15 分)</w:t>
            </w:r>
          </w:p>
        </w:tc>
        <w:tc>
          <w:tcPr>
            <w:tcW w:w="7404" w:type="dxa"/>
            <w:vAlign w:val="top"/>
          </w:tcPr>
          <w:p>
            <w:pPr>
              <w:keepNext w:val="0"/>
              <w:keepLines w:val="0"/>
              <w:widowControl/>
              <w:suppressLineNumbers w:val="0"/>
              <w:jc w:val="left"/>
              <w:textAlignment w:val="top"/>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参选商保承办广东省内地市级政府办重大疾病医疗保险保障类项目(含职工大病保险、城乡居民大病保险、职工大额医疗费用补助)，且项目至2025年12月仍在有效期内的，每个1分，该项最高不超过15分。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(注:参选商保总公司、省公司、分公司、分支机构的业绩一并计算得分：提供合同复印件，同一个合同含多个项目的，按项目数量计算)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3" w:hRule="atLeast"/>
        </w:trPr>
        <w:tc>
          <w:tcPr>
            <w:tcW w:w="1090" w:type="dxa"/>
            <w:vMerge w:val="continue"/>
            <w:vAlign w:val="center"/>
          </w:tcPr>
          <w:p>
            <w:pPr>
              <w:jc w:val="center"/>
              <w:rPr>
                <w:rFonts w:hint="eastAsia" w:ascii="仿宋" w:hAnsi="仿宋" w:eastAsia="仿宋" w:cs="仿宋"/>
                <w:bCs w:val="0"/>
                <w:color w:val="auto"/>
                <w:kern w:val="2"/>
                <w:sz w:val="24"/>
                <w:szCs w:val="24"/>
                <w:highlight w:val="none"/>
                <w:shd w:val="clear" w:color="auto" w:fill="auto"/>
                <w:lang w:bidi="ar"/>
              </w:rPr>
            </w:pPr>
          </w:p>
        </w:tc>
        <w:tc>
          <w:tcPr>
            <w:tcW w:w="1636"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医保基金监管领域的合作经验 (5 分)</w:t>
            </w:r>
          </w:p>
        </w:tc>
        <w:tc>
          <w:tcPr>
            <w:tcW w:w="7404" w:type="dxa"/>
            <w:vAlign w:val="top"/>
          </w:tcPr>
          <w:p>
            <w:pPr>
              <w:keepNext w:val="0"/>
              <w:keepLines w:val="0"/>
              <w:widowControl/>
              <w:suppressLineNumbers w:val="0"/>
              <w:jc w:val="left"/>
              <w:textAlignment w:val="top"/>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2025年有参与广东省省级医保领域违法违规行为专项治理交叉检查的，得5分；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2025年有参与广东省地市级医保基金监管领域专项检查的，2分。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(提供2025年省级、地市级专项检查项目的中标书或协议复印件)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3" w:hRule="atLeast"/>
        </w:trPr>
        <w:tc>
          <w:tcPr>
            <w:tcW w:w="1090" w:type="dxa"/>
            <w:vMerge w:val="restart"/>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服务能力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 分)</w:t>
            </w:r>
          </w:p>
        </w:tc>
        <w:tc>
          <w:tcPr>
            <w:tcW w:w="1636" w:type="dxa"/>
            <w:vAlign w:val="center"/>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亿元保费投诉情况（5分）</w:t>
            </w:r>
          </w:p>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p>
        </w:tc>
        <w:tc>
          <w:tcPr>
            <w:tcW w:w="7404" w:type="dxa"/>
            <w:vAlign w:val="top"/>
          </w:tcPr>
          <w:p>
            <w:pPr>
              <w:keepNext w:val="0"/>
              <w:keepLines w:val="0"/>
              <w:widowControl/>
              <w:suppressLineNumbers w:val="0"/>
              <w:jc w:val="left"/>
              <w:textAlignment w:val="top"/>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根据国家金融监督管理总局金融消保局发文通报的2025年第四季度保险消费投诉情况通报的亿元保费投诉量（件/亿元）进行评分：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（1）0.00（含）-0.50（不含）件/亿元的，得5分；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（2）0.50（含）-1.00（不含）件/亿元的，得3分；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（3）1.00（含）-1.50（不含）件/亿元的，得1分；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（4）1.50（含）以上件/亿元，得0分；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（提供国家金融监督管理总局发文通报的其所属总公司2025年第四季度保险消费投诉通报情况文件及其附件，并加盖参选单位公章，不提供不得分。）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8" w:hRule="atLeast"/>
        </w:trPr>
        <w:tc>
          <w:tcPr>
            <w:tcW w:w="1090" w:type="dxa"/>
            <w:vMerge w:val="continue"/>
            <w:vAlign w:val="center"/>
          </w:tcPr>
          <w:p>
            <w:pPr>
              <w:jc w:val="center"/>
              <w:rPr>
                <w:rFonts w:hint="eastAsia" w:ascii="仿宋" w:hAnsi="仿宋" w:eastAsia="仿宋" w:cs="仿宋"/>
                <w:bCs w:val="0"/>
                <w:color w:val="auto"/>
                <w:kern w:val="2"/>
                <w:sz w:val="24"/>
                <w:szCs w:val="24"/>
                <w:highlight w:val="none"/>
                <w:shd w:val="clear" w:color="auto" w:fill="auto"/>
                <w:lang w:bidi="ar"/>
              </w:rPr>
            </w:pPr>
          </w:p>
        </w:tc>
        <w:tc>
          <w:tcPr>
            <w:tcW w:w="1636"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网点设置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(10分)</w:t>
            </w:r>
          </w:p>
        </w:tc>
        <w:tc>
          <w:tcPr>
            <w:tcW w:w="7404" w:type="dxa"/>
            <w:vAlign w:val="top"/>
          </w:tcPr>
          <w:p>
            <w:pPr>
              <w:keepNext w:val="0"/>
              <w:keepLines w:val="0"/>
              <w:widowControl/>
              <w:suppressLineNumbers w:val="0"/>
              <w:jc w:val="left"/>
              <w:textAlignment w:val="top"/>
              <w:rPr>
                <w:rFonts w:hint="eastAsia" w:ascii="仿宋" w:hAnsi="仿宋" w:eastAsia="仿宋" w:cs="仿宋"/>
                <w:bCs w:val="0"/>
                <w:color w:val="auto"/>
                <w:kern w:val="2"/>
                <w:sz w:val="24"/>
                <w:szCs w:val="24"/>
                <w:highlight w:val="none"/>
                <w:shd w:val="clear" w:color="auto" w:fill="auto"/>
                <w:lang w:eastAsia="zh-CN" w:bidi="ar"/>
              </w:rPr>
            </w:pPr>
            <w:r>
              <w:rPr>
                <w:rFonts w:hint="eastAsia" w:ascii="仿宋" w:hAnsi="仿宋" w:eastAsia="仿宋" w:cs="仿宋"/>
                <w:i w:val="0"/>
                <w:iCs w:val="0"/>
                <w:color w:val="000000"/>
                <w:kern w:val="0"/>
                <w:sz w:val="24"/>
                <w:szCs w:val="24"/>
                <w:u w:val="none"/>
                <w:lang w:val="en-US" w:eastAsia="zh-CN" w:bidi="ar"/>
              </w:rPr>
              <w:t>对参选商保在河源市下辖设置的自有分支机构的情况进行评分: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1.参选商保分支机构≥20个的，得10分；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2.15≤参选商保分支机构&lt;20个的，得8分；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3.10≤参选商保分支机构&lt;15个的，得6分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4.1≤参选商保分支机构&lt;10个的，得4分；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5.没有在河源设网点的，不得分。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(参选商保公司分支机构只允许参评商保分公司、分支机构的纳入计算，提供分支机构的营业执照及保险经营许可证复印件，未提供不得分。）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2" w:hRule="atLeast"/>
        </w:trPr>
        <w:tc>
          <w:tcPr>
            <w:tcW w:w="1090"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普惠险运营经历(15 分)</w:t>
            </w:r>
          </w:p>
        </w:tc>
        <w:tc>
          <w:tcPr>
            <w:tcW w:w="1636" w:type="dxa"/>
            <w:vAlign w:val="center"/>
          </w:tcPr>
          <w:p>
            <w:pPr>
              <w:keepNext w:val="0"/>
              <w:keepLines w:val="0"/>
              <w:widowControl/>
              <w:suppressLineNumbers w:val="0"/>
              <w:jc w:val="center"/>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首席承保普惠型商业补充医疗保险项目的运营经历</w:t>
            </w:r>
          </w:p>
        </w:tc>
        <w:tc>
          <w:tcPr>
            <w:tcW w:w="7404" w:type="dxa"/>
            <w:vAlign w:val="top"/>
          </w:tcPr>
          <w:p>
            <w:pPr>
              <w:keepNext w:val="0"/>
              <w:keepLines w:val="0"/>
              <w:widowControl/>
              <w:suppressLineNumbers w:val="0"/>
              <w:jc w:val="left"/>
              <w:textAlignment w:val="top"/>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参选商保（含其总公司、分公司、分支机构）首席承办广东省内地市级城市定制型商业医疗保险项目数量，需由政府部门参与（指导/主导）的项目，且项目至2025年仍在有效期内的，每个得1.5分，最高不超过15分。以共保体形式承办的项目需提供共保体协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（共保协议需体现首席单位，相关材料需加盖其公章，无法提供的不计数。)</w:t>
            </w:r>
          </w:p>
        </w:tc>
      </w:tr>
    </w:tbl>
    <w:p>
      <w:pPr>
        <w:rPr>
          <w:rFonts w:hint="eastAsia" w:ascii="仿宋" w:hAnsi="仿宋" w:eastAsia="仿宋" w:cs="仿宋"/>
          <w:bCs/>
          <w:color w:val="auto"/>
          <w:kern w:val="0"/>
          <w:sz w:val="24"/>
          <w:szCs w:val="24"/>
          <w:shd w:val="clear" w:color="auto" w:fill="FFFFFF"/>
          <w:lang w:bidi="ar"/>
        </w:rPr>
      </w:pPr>
      <w:r>
        <w:rPr>
          <w:rFonts w:hint="eastAsia" w:ascii="仿宋" w:hAnsi="仿宋" w:eastAsia="仿宋" w:cs="仿宋"/>
          <w:bCs/>
          <w:color w:val="auto"/>
          <w:kern w:val="0"/>
          <w:sz w:val="24"/>
          <w:szCs w:val="24"/>
          <w:shd w:val="clear" w:color="auto" w:fill="FFFFFF"/>
          <w:lang w:bidi="ar"/>
        </w:rPr>
        <w:br w:type="page"/>
      </w:r>
    </w:p>
    <w:p>
      <w:pPr>
        <w:tabs>
          <w:tab w:val="left" w:pos="3169"/>
        </w:tabs>
        <w:spacing w:line="560" w:lineRule="exact"/>
        <w:rPr>
          <w:rFonts w:hint="eastAsia" w:ascii="仿宋" w:hAnsi="仿宋" w:eastAsia="仿宋" w:cs="仿宋"/>
          <w:bCs/>
          <w:color w:val="auto"/>
          <w:kern w:val="0"/>
          <w:sz w:val="24"/>
          <w:szCs w:val="24"/>
          <w:shd w:val="clear" w:color="auto" w:fill="FFFFFF"/>
          <w:lang w:bidi="ar"/>
        </w:rPr>
      </w:pPr>
      <w:r>
        <w:rPr>
          <w:rFonts w:hint="eastAsia" w:ascii="仿宋" w:hAnsi="仿宋" w:eastAsia="仿宋" w:cs="仿宋"/>
          <w:bCs/>
          <w:color w:val="auto"/>
          <w:kern w:val="0"/>
          <w:sz w:val="24"/>
          <w:szCs w:val="24"/>
          <w:shd w:val="clear" w:color="auto" w:fill="FFFFFF"/>
          <w:lang w:bidi="ar"/>
        </w:rPr>
        <w:t>（二）技术评估 (</w:t>
      </w:r>
      <w:r>
        <w:rPr>
          <w:rFonts w:hint="eastAsia" w:ascii="仿宋" w:hAnsi="仿宋" w:eastAsia="仿宋" w:cs="仿宋"/>
          <w:bCs/>
          <w:color w:val="auto"/>
          <w:kern w:val="0"/>
          <w:sz w:val="24"/>
          <w:szCs w:val="24"/>
          <w:shd w:val="clear" w:color="auto" w:fill="FFFFFF"/>
          <w:lang w:val="en-US" w:eastAsia="zh-CN" w:bidi="ar"/>
        </w:rPr>
        <w:t>40</w:t>
      </w:r>
      <w:r>
        <w:rPr>
          <w:rFonts w:hint="eastAsia" w:ascii="仿宋" w:hAnsi="仿宋" w:eastAsia="仿宋" w:cs="仿宋"/>
          <w:bCs/>
          <w:color w:val="auto"/>
          <w:kern w:val="0"/>
          <w:sz w:val="24"/>
          <w:szCs w:val="24"/>
          <w:shd w:val="clear" w:color="auto" w:fill="FFFFFF"/>
          <w:lang w:bidi="ar"/>
        </w:rPr>
        <w:t>分)</w:t>
      </w:r>
    </w:p>
    <w:p>
      <w:pPr>
        <w:rPr>
          <w:rFonts w:hint="eastAsia" w:ascii="仿宋" w:hAnsi="仿宋" w:eastAsia="仿宋" w:cs="仿宋"/>
          <w:color w:val="auto"/>
          <w:sz w:val="24"/>
          <w:szCs w:val="24"/>
        </w:rPr>
      </w:pPr>
    </w:p>
    <w:tbl>
      <w:tblPr>
        <w:tblStyle w:val="8"/>
        <w:tblW w:w="10155" w:type="dxa"/>
        <w:tblInd w:w="-2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1399"/>
        <w:gridCol w:w="7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230" w:type="dxa"/>
            <w:vAlign w:val="center"/>
          </w:tcPr>
          <w:p>
            <w:pPr>
              <w:tabs>
                <w:tab w:val="left" w:pos="3169"/>
              </w:tabs>
              <w:spacing w:line="560" w:lineRule="exact"/>
              <w:jc w:val="both"/>
              <w:rPr>
                <w:rFonts w:hint="eastAsia" w:ascii="仿宋" w:hAnsi="仿宋" w:eastAsia="仿宋" w:cs="仿宋"/>
                <w:bCs/>
                <w:color w:val="auto"/>
                <w:kern w:val="0"/>
                <w:sz w:val="24"/>
                <w:szCs w:val="24"/>
                <w:shd w:val="clear" w:color="auto" w:fill="FFFFFF"/>
                <w:lang w:bidi="ar"/>
              </w:rPr>
            </w:pPr>
            <w:r>
              <w:rPr>
                <w:rFonts w:hint="eastAsia" w:ascii="仿宋" w:hAnsi="仿宋" w:eastAsia="仿宋" w:cs="仿宋"/>
                <w:bCs/>
                <w:color w:val="auto"/>
                <w:kern w:val="0"/>
                <w:sz w:val="24"/>
                <w:szCs w:val="24"/>
                <w:shd w:val="clear" w:color="auto" w:fill="FFFFFF"/>
                <w:lang w:bidi="ar"/>
              </w:rPr>
              <w:t>项目</w:t>
            </w:r>
          </w:p>
        </w:tc>
        <w:tc>
          <w:tcPr>
            <w:tcW w:w="1399" w:type="dxa"/>
          </w:tcPr>
          <w:p>
            <w:pPr>
              <w:tabs>
                <w:tab w:val="left" w:pos="3169"/>
              </w:tabs>
              <w:spacing w:line="560" w:lineRule="exact"/>
              <w:jc w:val="center"/>
              <w:rPr>
                <w:rFonts w:hint="eastAsia" w:ascii="仿宋" w:hAnsi="仿宋" w:eastAsia="仿宋" w:cs="仿宋"/>
                <w:bCs/>
                <w:color w:val="auto"/>
                <w:kern w:val="0"/>
                <w:sz w:val="24"/>
                <w:szCs w:val="24"/>
                <w:shd w:val="clear" w:color="auto" w:fill="FFFFFF"/>
                <w:lang w:bidi="ar"/>
              </w:rPr>
            </w:pPr>
            <w:r>
              <w:rPr>
                <w:rFonts w:hint="eastAsia" w:ascii="仿宋" w:hAnsi="仿宋" w:eastAsia="仿宋" w:cs="仿宋"/>
                <w:bCs/>
                <w:color w:val="auto"/>
                <w:kern w:val="0"/>
                <w:sz w:val="24"/>
                <w:szCs w:val="24"/>
                <w:shd w:val="clear" w:color="auto" w:fill="FFFFFF"/>
                <w:lang w:bidi="ar"/>
              </w:rPr>
              <w:t>评分内容</w:t>
            </w:r>
          </w:p>
        </w:tc>
        <w:tc>
          <w:tcPr>
            <w:tcW w:w="7526" w:type="dxa"/>
          </w:tcPr>
          <w:p>
            <w:pPr>
              <w:tabs>
                <w:tab w:val="left" w:pos="3169"/>
              </w:tabs>
              <w:spacing w:line="560" w:lineRule="exact"/>
              <w:jc w:val="center"/>
              <w:rPr>
                <w:rFonts w:hint="eastAsia" w:ascii="仿宋" w:hAnsi="仿宋" w:eastAsia="仿宋" w:cs="仿宋"/>
                <w:bCs/>
                <w:color w:val="auto"/>
                <w:kern w:val="0"/>
                <w:sz w:val="24"/>
                <w:szCs w:val="24"/>
                <w:shd w:val="clear" w:color="auto" w:fill="FFFFFF"/>
                <w:lang w:bidi="ar"/>
              </w:rPr>
            </w:pPr>
            <w:r>
              <w:rPr>
                <w:rFonts w:hint="eastAsia" w:ascii="仿宋" w:hAnsi="仿宋" w:eastAsia="仿宋" w:cs="仿宋"/>
                <w:bCs/>
                <w:color w:val="auto"/>
                <w:kern w:val="0"/>
                <w:sz w:val="24"/>
                <w:szCs w:val="24"/>
                <w:shd w:val="clear" w:color="auto" w:fill="FFFFFF"/>
                <w:lang w:bidi="ar"/>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1230"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方案设计（15分）</w:t>
            </w:r>
          </w:p>
        </w:tc>
        <w:tc>
          <w:tcPr>
            <w:tcW w:w="1399"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根据“市民保（惠民保）”方案设计内容进行评分</w:t>
            </w:r>
          </w:p>
        </w:tc>
        <w:tc>
          <w:tcPr>
            <w:tcW w:w="7526" w:type="dxa"/>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根据参选商保公司上报的产品方案与《河源市普惠型商业补充医疗保险承办机构遴选工作方案》、《关于修订印发&lt;河源市普惠型商业补充医疗保险承办机构遴选工作方案&gt;的通知》指导范围进行对比评分：</w:t>
            </w:r>
          </w:p>
          <w:p>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1.完全响应“保险费标准”“保险待遇”“基金管理”内容的得5分，不响应不得分；</w:t>
            </w:r>
          </w:p>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2.保险费标准最低的得4分，其他的得2分；</w:t>
            </w:r>
          </w:p>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3.保险待遇最优的得4分，其他的2分；</w:t>
            </w:r>
          </w:p>
          <w:p>
            <w:pPr>
              <w:keepNext w:val="0"/>
              <w:keepLines w:val="0"/>
              <w:widowControl/>
              <w:suppressLineNumbers w:val="0"/>
              <w:jc w:val="left"/>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4.盈利率最低的得2分，其他的得1分。</w:t>
            </w:r>
          </w:p>
          <w:p>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1230"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val="en-US" w:eastAsia="zh-CN" w:bidi="ar"/>
              </w:rPr>
            </w:pPr>
            <w:r>
              <w:rPr>
                <w:rFonts w:hint="eastAsia" w:ascii="仿宋" w:hAnsi="仿宋" w:eastAsia="仿宋" w:cs="仿宋"/>
                <w:i w:val="0"/>
                <w:iCs w:val="0"/>
                <w:color w:val="000000"/>
                <w:kern w:val="0"/>
                <w:sz w:val="24"/>
                <w:szCs w:val="24"/>
                <w:u w:val="none"/>
                <w:lang w:val="en-US" w:eastAsia="zh-CN" w:bidi="ar"/>
              </w:rPr>
              <w:t>专业化服务保障机制(9分)</w:t>
            </w:r>
          </w:p>
        </w:tc>
        <w:tc>
          <w:tcPr>
            <w:tcW w:w="1399"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val="en-US" w:eastAsia="zh-CN" w:bidi="ar"/>
              </w:rPr>
            </w:pPr>
            <w:r>
              <w:rPr>
                <w:rFonts w:hint="eastAsia" w:ascii="仿宋" w:hAnsi="仿宋" w:eastAsia="仿宋" w:cs="仿宋"/>
                <w:i w:val="0"/>
                <w:iCs w:val="0"/>
                <w:color w:val="000000"/>
                <w:kern w:val="0"/>
                <w:sz w:val="24"/>
                <w:szCs w:val="24"/>
                <w:u w:val="none"/>
                <w:lang w:val="en-US" w:eastAsia="zh-CN" w:bidi="ar"/>
              </w:rPr>
              <w:t>根据组建“市民保（惠民保）”专属服务团队、建立服务工作制度的情况进行评分</w:t>
            </w:r>
          </w:p>
        </w:tc>
        <w:tc>
          <w:tcPr>
            <w:tcW w:w="7526" w:type="dxa"/>
            <w:vAlign w:val="center"/>
          </w:tcPr>
          <w:p>
            <w:pPr>
              <w:keepNext w:val="0"/>
              <w:keepLines w:val="0"/>
              <w:widowControl/>
              <w:suppressLineNumbers w:val="0"/>
              <w:jc w:val="left"/>
              <w:textAlignment w:val="center"/>
              <w:rPr>
                <w:rStyle w:val="11"/>
                <w:rFonts w:hint="eastAsia" w:ascii="仿宋" w:hAnsi="仿宋" w:eastAsia="仿宋" w:cs="仿宋"/>
                <w:sz w:val="24"/>
                <w:szCs w:val="24"/>
                <w:lang w:val="en-US" w:eastAsia="zh-CN" w:bidi="ar"/>
              </w:rPr>
            </w:pPr>
            <w:r>
              <w:rPr>
                <w:rStyle w:val="11"/>
                <w:rFonts w:hint="eastAsia" w:ascii="仿宋" w:hAnsi="仿宋" w:eastAsia="仿宋" w:cs="仿宋"/>
                <w:sz w:val="24"/>
                <w:szCs w:val="24"/>
                <w:lang w:val="en-US" w:eastAsia="zh-CN" w:bidi="ar"/>
              </w:rPr>
              <w:t>1.团队人员数量充足、岗位分工明确，服务制度完善，得9分；</w:t>
            </w:r>
            <w:r>
              <w:rPr>
                <w:rStyle w:val="11"/>
                <w:rFonts w:hint="eastAsia" w:ascii="仿宋" w:hAnsi="仿宋" w:eastAsia="仿宋" w:cs="仿宋"/>
                <w:sz w:val="24"/>
                <w:szCs w:val="24"/>
                <w:lang w:val="en-US" w:eastAsia="zh-CN" w:bidi="ar"/>
              </w:rPr>
              <w:br w:type="textWrapping"/>
            </w:r>
            <w:r>
              <w:rPr>
                <w:rStyle w:val="11"/>
                <w:rFonts w:hint="eastAsia" w:ascii="仿宋" w:hAnsi="仿宋" w:eastAsia="仿宋" w:cs="仿宋"/>
                <w:sz w:val="24"/>
                <w:szCs w:val="24"/>
                <w:lang w:val="en-US" w:eastAsia="zh-CN" w:bidi="ar"/>
              </w:rPr>
              <w:t>2.团队人员数量较为充足、岗位较为分工明确，服务制度较为完善，得6分；</w:t>
            </w:r>
            <w:r>
              <w:rPr>
                <w:rStyle w:val="11"/>
                <w:rFonts w:hint="eastAsia" w:ascii="仿宋" w:hAnsi="仿宋" w:eastAsia="仿宋" w:cs="仿宋"/>
                <w:sz w:val="24"/>
                <w:szCs w:val="24"/>
                <w:lang w:val="en-US" w:eastAsia="zh-CN" w:bidi="ar"/>
              </w:rPr>
              <w:br w:type="textWrapping"/>
            </w:r>
            <w:r>
              <w:rPr>
                <w:rStyle w:val="11"/>
                <w:rFonts w:hint="eastAsia" w:ascii="仿宋" w:hAnsi="仿宋" w:eastAsia="仿宋" w:cs="仿宋"/>
                <w:sz w:val="24"/>
                <w:szCs w:val="24"/>
                <w:lang w:val="en-US" w:eastAsia="zh-CN" w:bidi="ar"/>
              </w:rPr>
              <w:t>3.团队人员数量基本充足、岗位分工较为简单，服务制度较为简单，得3分；</w:t>
            </w:r>
            <w:r>
              <w:rPr>
                <w:rStyle w:val="11"/>
                <w:rFonts w:hint="eastAsia" w:ascii="仿宋" w:hAnsi="仿宋" w:eastAsia="仿宋" w:cs="仿宋"/>
                <w:sz w:val="24"/>
                <w:szCs w:val="24"/>
                <w:lang w:val="en-US" w:eastAsia="zh-CN" w:bidi="ar"/>
              </w:rPr>
              <w:br w:type="textWrapping"/>
            </w:r>
            <w:r>
              <w:rPr>
                <w:rStyle w:val="11"/>
                <w:rFonts w:hint="eastAsia" w:ascii="仿宋" w:hAnsi="仿宋" w:eastAsia="仿宋" w:cs="仿宋"/>
                <w:sz w:val="24"/>
                <w:szCs w:val="24"/>
                <w:lang w:val="en-US" w:eastAsia="zh-CN" w:bidi="ar"/>
              </w:rPr>
              <w:t>4.没有成立专属服务团队或没有建立服务工作制度，得0分。</w:t>
            </w:r>
          </w:p>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val="en-US" w:eastAsia="zh-CN" w:bidi="ar"/>
              </w:rPr>
            </w:pPr>
            <w:r>
              <w:rPr>
                <w:rStyle w:val="11"/>
                <w:rFonts w:hint="eastAsia" w:ascii="仿宋" w:hAnsi="仿宋" w:eastAsia="仿宋" w:cs="仿宋"/>
                <w:sz w:val="24"/>
                <w:szCs w:val="24"/>
                <w:lang w:val="en-US" w:eastAsia="zh-CN" w:bidi="ar"/>
              </w:rPr>
              <w:t>注：提供组建团队与建立服务工作制度情况的相关材料、方案，没有提供不得分。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1230" w:type="dxa"/>
            <w:vAlign w:val="center"/>
          </w:tcPr>
          <w:p>
            <w:pPr>
              <w:keepNext w:val="0"/>
              <w:keepLines w:val="0"/>
              <w:widowControl/>
              <w:suppressLineNumbers w:val="0"/>
              <w:jc w:val="left"/>
              <w:textAlignment w:val="center"/>
              <w:rPr>
                <w:rFonts w:hint="eastAsia" w:ascii="仿宋" w:hAnsi="仿宋" w:eastAsia="仿宋" w:cs="仿宋"/>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服务方案 (8分）</w:t>
            </w:r>
          </w:p>
        </w:tc>
        <w:tc>
          <w:tcPr>
            <w:tcW w:w="1399" w:type="dxa"/>
            <w:vAlign w:val="center"/>
          </w:tcPr>
          <w:p>
            <w:pPr>
              <w:keepNext w:val="0"/>
              <w:keepLines w:val="0"/>
              <w:widowControl/>
              <w:suppressLineNumbers w:val="0"/>
              <w:jc w:val="left"/>
              <w:textAlignment w:val="center"/>
              <w:rPr>
                <w:rFonts w:hint="eastAsia" w:ascii="仿宋" w:hAnsi="仿宋" w:eastAsia="仿宋" w:cs="仿宋"/>
                <w:color w:val="2E54A1" w:themeColor="accent1" w:themeShade="BF"/>
                <w:sz w:val="24"/>
                <w:szCs w:val="24"/>
              </w:rPr>
            </w:pPr>
            <w:r>
              <w:rPr>
                <w:rFonts w:hint="eastAsia" w:ascii="仿宋" w:hAnsi="仿宋" w:eastAsia="仿宋" w:cs="仿宋"/>
                <w:i w:val="0"/>
                <w:iCs w:val="0"/>
                <w:color w:val="000000"/>
                <w:kern w:val="0"/>
                <w:sz w:val="24"/>
                <w:szCs w:val="24"/>
                <w:u w:val="none"/>
                <w:lang w:val="en-US" w:eastAsia="zh-CN" w:bidi="ar"/>
              </w:rPr>
              <w:t>从实施方案设计的完整性、可行性进行评分</w:t>
            </w:r>
          </w:p>
        </w:tc>
        <w:tc>
          <w:tcPr>
            <w:tcW w:w="7526" w:type="dxa"/>
            <w:vAlign w:val="center"/>
          </w:tcPr>
          <w:p>
            <w:pPr>
              <w:keepNext w:val="0"/>
              <w:keepLines w:val="0"/>
              <w:widowControl/>
              <w:suppressLineNumbers w:val="0"/>
              <w:jc w:val="left"/>
              <w:textAlignment w:val="center"/>
              <w:rPr>
                <w:rFonts w:hint="eastAsia" w:ascii="仿宋" w:hAnsi="仿宋" w:eastAsia="仿宋" w:cs="仿宋"/>
                <w:bCs w:val="0"/>
                <w:color w:val="2E54A1" w:themeColor="accent1" w:themeShade="BF"/>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1.设置专项服务热线，得1分；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2.提供线上咨询服务，得1分；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3.设置投诉应急方案，得2分；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4.宣传方案内容包含网络媒体宣传、户外广告宣传、社区街道固定场所宣传、线下地推队伍宣传等内容，内容详实完善符合项目实际需求可操作性高的，得2分；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5.提供增值服务，得2分。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trPr>
        <w:tc>
          <w:tcPr>
            <w:tcW w:w="1230"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理赔承诺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(4分)</w:t>
            </w:r>
          </w:p>
        </w:tc>
        <w:tc>
          <w:tcPr>
            <w:tcW w:w="1399"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根据理赔承诺事项进行评分</w:t>
            </w:r>
          </w:p>
        </w:tc>
        <w:tc>
          <w:tcPr>
            <w:tcW w:w="7526"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1.参选商保承诺做到理赔程序简洁清晰，时效合理及时，当期亏损时仍按规定赔付给保险人医保待遇。承诺的，得2分，不承诺的，不得分。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2.提供合理的理赔服务方案得2分，不提供不得分。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230"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运行分析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(4分)</w:t>
            </w:r>
          </w:p>
        </w:tc>
        <w:tc>
          <w:tcPr>
            <w:tcW w:w="1399"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根据运行分析承诺事项进行评分</w:t>
            </w:r>
          </w:p>
        </w:tc>
        <w:tc>
          <w:tcPr>
            <w:tcW w:w="7526" w:type="dxa"/>
            <w:vAlign w:val="center"/>
          </w:tcPr>
          <w:p>
            <w:pPr>
              <w:keepNext w:val="0"/>
              <w:keepLines w:val="0"/>
              <w:widowControl/>
              <w:suppressLineNumbers w:val="0"/>
              <w:jc w:val="left"/>
              <w:textAlignment w:val="center"/>
              <w:rPr>
                <w:rFonts w:hint="eastAsia" w:ascii="仿宋" w:hAnsi="仿宋" w:eastAsia="仿宋" w:cs="仿宋"/>
                <w:bCs w:val="0"/>
                <w:color w:val="auto"/>
                <w:kern w:val="2"/>
                <w:sz w:val="24"/>
                <w:szCs w:val="24"/>
                <w:highlight w:val="none"/>
                <w:shd w:val="clear" w:color="auto" w:fill="auto"/>
                <w:lang w:bidi="ar"/>
              </w:rPr>
            </w:pPr>
            <w:r>
              <w:rPr>
                <w:rFonts w:hint="eastAsia" w:ascii="仿宋" w:hAnsi="仿宋" w:eastAsia="仿宋" w:cs="仿宋"/>
                <w:i w:val="0"/>
                <w:iCs w:val="0"/>
                <w:color w:val="000000"/>
                <w:kern w:val="0"/>
                <w:sz w:val="24"/>
                <w:szCs w:val="24"/>
                <w:u w:val="none"/>
                <w:lang w:val="en-US" w:eastAsia="zh-CN" w:bidi="ar"/>
              </w:rPr>
              <w:t>1.承诺派专人对项目运行情况进行分析的，得2分。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2.提供合理的运行分析方案得2分，不提供不得分。</w:t>
            </w:r>
          </w:p>
        </w:tc>
      </w:tr>
    </w:tbl>
    <w:p>
      <w:pPr>
        <w:rPr>
          <w:rFonts w:hint="eastAsia" w:ascii="仿宋" w:hAnsi="仿宋" w:eastAsia="仿宋" w:cs="仿宋"/>
          <w:color w:val="auto"/>
        </w:rPr>
      </w:pPr>
    </w:p>
    <w:sectPr>
      <w:footerReference r:id="rId3" w:type="default"/>
      <w:pgSz w:w="11906" w:h="16838"/>
      <w:pgMar w:top="1440" w:right="1633" w:bottom="1440" w:left="1633" w:header="851" w:footer="992" w:gutter="0"/>
      <w:cols w:space="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4D"/>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sinsu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1ZDgyMjI2YTA1OWE2NjJkODQwMGZiNGFjZTA0NDkifQ=="/>
  </w:docVars>
  <w:rsids>
    <w:rsidRoot w:val="57DC610E"/>
    <w:rsid w:val="01933A29"/>
    <w:rsid w:val="06DB0A8F"/>
    <w:rsid w:val="074F40D8"/>
    <w:rsid w:val="08F8136C"/>
    <w:rsid w:val="0A1D594D"/>
    <w:rsid w:val="0B94386C"/>
    <w:rsid w:val="0CE2049F"/>
    <w:rsid w:val="0E6A1F98"/>
    <w:rsid w:val="103510F8"/>
    <w:rsid w:val="10445D2A"/>
    <w:rsid w:val="10903FB6"/>
    <w:rsid w:val="139F6641"/>
    <w:rsid w:val="13D84BFB"/>
    <w:rsid w:val="14E629C1"/>
    <w:rsid w:val="18FD2E7D"/>
    <w:rsid w:val="19394BE5"/>
    <w:rsid w:val="1E62123C"/>
    <w:rsid w:val="21296020"/>
    <w:rsid w:val="22947F00"/>
    <w:rsid w:val="26E04138"/>
    <w:rsid w:val="277C3CC4"/>
    <w:rsid w:val="281A6228"/>
    <w:rsid w:val="28E02E30"/>
    <w:rsid w:val="32CD7633"/>
    <w:rsid w:val="38FF3ECD"/>
    <w:rsid w:val="39B4773C"/>
    <w:rsid w:val="3A09701F"/>
    <w:rsid w:val="3BEB4F70"/>
    <w:rsid w:val="3CA77A1F"/>
    <w:rsid w:val="3D80252B"/>
    <w:rsid w:val="40D93256"/>
    <w:rsid w:val="40E63BC5"/>
    <w:rsid w:val="42041BA0"/>
    <w:rsid w:val="42EB7BF8"/>
    <w:rsid w:val="460664BB"/>
    <w:rsid w:val="46A549EA"/>
    <w:rsid w:val="4D5D7E9A"/>
    <w:rsid w:val="4F7D66B9"/>
    <w:rsid w:val="52F902A4"/>
    <w:rsid w:val="57A00338"/>
    <w:rsid w:val="57DC610E"/>
    <w:rsid w:val="595B5F9F"/>
    <w:rsid w:val="5BBF0C93"/>
    <w:rsid w:val="5FB56C89"/>
    <w:rsid w:val="63DE27AE"/>
    <w:rsid w:val="65EE2A50"/>
    <w:rsid w:val="6BE84077"/>
    <w:rsid w:val="6DEE7A91"/>
    <w:rsid w:val="6E174177"/>
    <w:rsid w:val="70DE5457"/>
    <w:rsid w:val="71C11E69"/>
    <w:rsid w:val="725B76BF"/>
    <w:rsid w:val="72A62F0C"/>
    <w:rsid w:val="73443F82"/>
    <w:rsid w:val="73A330CC"/>
    <w:rsid w:val="7781688E"/>
    <w:rsid w:val="7BF54091"/>
    <w:rsid w:val="7E9A5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_Style 3"/>
    <w:basedOn w:val="1"/>
    <w:next w:val="3"/>
    <w:qFormat/>
    <w:uiPriority w:val="0"/>
    <w:pPr>
      <w:autoSpaceDE w:val="0"/>
      <w:autoSpaceDN w:val="0"/>
      <w:adjustRightInd w:val="0"/>
      <w:spacing w:line="480" w:lineRule="exact"/>
      <w:ind w:firstLine="560"/>
      <w:jc w:val="left"/>
    </w:pPr>
    <w:rPr>
      <w:rFonts w:ascii="宋体" w:hAnsi="宋体" w:eastAsia="宋体" w:cs="Times New Roman"/>
      <w:color w:val="000000"/>
      <w:kern w:val="0"/>
      <w:sz w:val="28"/>
      <w:szCs w:val="20"/>
    </w:rPr>
  </w:style>
  <w:style w:type="paragraph" w:styleId="3">
    <w:name w:val="Body Text Indent 3"/>
    <w:basedOn w:val="1"/>
    <w:unhideWhenUsed/>
    <w:qFormat/>
    <w:uiPriority w:val="0"/>
    <w:pPr>
      <w:spacing w:line="360" w:lineRule="auto"/>
      <w:ind w:firstLine="420" w:firstLineChars="200"/>
    </w:pPr>
    <w:rPr>
      <w:rFonts w:ascii="Times New Roman" w:hAnsi="Times New Roman" w:eastAsia="宋体" w:cs="Times New Roman"/>
      <w:szCs w:val="20"/>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0"/>
    <w:tblPr>
      <w:tblCellMar>
        <w:top w:w="0" w:type="dxa"/>
        <w:left w:w="0" w:type="dxa"/>
        <w:bottom w:w="0" w:type="dxa"/>
        <w:right w:w="0" w:type="dxa"/>
      </w:tblCellMar>
    </w:tblPr>
  </w:style>
  <w:style w:type="character" w:customStyle="1" w:styleId="11">
    <w:name w:val="font41"/>
    <w:basedOn w:val="9"/>
    <w:qFormat/>
    <w:uiPriority w:val="0"/>
    <w:rPr>
      <w:rFonts w:hint="eastAsia" w:ascii="宋体" w:hAnsi="宋体" w:eastAsia="宋体" w:cs="宋体"/>
      <w:color w:val="000000"/>
      <w:sz w:val="20"/>
      <w:szCs w:val="20"/>
      <w:u w:val="none"/>
    </w:rPr>
  </w:style>
  <w:style w:type="character" w:customStyle="1" w:styleId="12">
    <w:name w:val="font11"/>
    <w:basedOn w:val="9"/>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38</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2023-10-25T09:42:00Z</dcterms:created>
  <dc:creator>瑾</dc:creator>
  <cp:lastModifiedBy>MSUsers</cp:lastModifiedBy>
  <cp:lastPrinted>2023-10-30T03:30:00Z</cp:lastPrinted>
  <dcterms:modified xsi:type="dcterms:W3CDTF">2026-09-29T03:28:34Z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1876C1149EBE4E58BB128C31EC514E70</vt:lpwstr>
  </property>
</Properties>
</file>