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仿宋" w:eastAsia="方正小标宋简体" w:cs="仿宋"/>
          <w:b w:val="0"/>
          <w:bCs w:val="0"/>
          <w:szCs w:val="44"/>
          <w:lang w:eastAsia="zh-CN"/>
        </w:rPr>
      </w:pPr>
      <w:bookmarkStart w:id="0" w:name="_Toc30094"/>
      <w:r>
        <w:rPr>
          <w:rFonts w:hint="eastAsia" w:ascii="黑体" w:hAnsi="黑体" w:eastAsia="黑体" w:cs="黑体"/>
          <w:b w:val="0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szCs w:val="44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szCs w:val="44"/>
        </w:rPr>
      </w:pPr>
      <w:bookmarkStart w:id="4" w:name="_GoBack"/>
      <w:r>
        <w:rPr>
          <w:rFonts w:hint="eastAsia" w:ascii="方正小标宋简体" w:hAnsi="仿宋" w:eastAsia="方正小标宋简体" w:cs="仿宋"/>
          <w:b w:val="0"/>
          <w:bCs w:val="0"/>
          <w:szCs w:val="44"/>
          <w:lang w:eastAsia="zh-CN"/>
        </w:rPr>
        <w:t>中国（河源）</w:t>
      </w:r>
      <w:r>
        <w:rPr>
          <w:rFonts w:hint="eastAsia" w:ascii="方正小标宋简体" w:hAnsi="仿宋" w:eastAsia="方正小标宋简体" w:cs="仿宋"/>
          <w:b w:val="0"/>
          <w:bCs w:val="0"/>
          <w:szCs w:val="44"/>
        </w:rPr>
        <w:t>跨境</w:t>
      </w:r>
      <w:r>
        <w:rPr>
          <w:rFonts w:hint="eastAsia" w:ascii="方正小标宋简体" w:hAnsi="仿宋" w:eastAsia="方正小标宋简体" w:cs="仿宋"/>
          <w:b w:val="0"/>
          <w:bCs w:val="0"/>
          <w:szCs w:val="44"/>
          <w:lang w:eastAsia="zh-CN"/>
        </w:rPr>
        <w:t>电子商务</w:t>
      </w:r>
      <w:r>
        <w:rPr>
          <w:rFonts w:hint="eastAsia" w:ascii="方正小标宋简体" w:hAnsi="仿宋" w:eastAsia="方正小标宋简体" w:cs="仿宋"/>
          <w:b w:val="0"/>
          <w:bCs w:val="0"/>
          <w:szCs w:val="44"/>
        </w:rPr>
        <w:t>综合试验区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bCs w:val="0"/>
          <w:szCs w:val="44"/>
        </w:rPr>
        <w:t>资源对接</w:t>
      </w:r>
      <w:r>
        <w:rPr>
          <w:rFonts w:hint="eastAsia" w:ascii="方正小标宋简体" w:hAnsi="仿宋" w:eastAsia="方正小标宋简体" w:cs="仿宋"/>
          <w:b w:val="0"/>
          <w:bCs w:val="0"/>
          <w:szCs w:val="44"/>
          <w:lang w:eastAsia="zh-CN"/>
        </w:rPr>
        <w:t>活动</w:t>
      </w:r>
      <w:r>
        <w:rPr>
          <w:rFonts w:hint="eastAsia" w:ascii="方正小标宋简体" w:hAnsi="仿宋" w:eastAsia="方正小标宋简体" w:cs="仿宋"/>
          <w:b w:val="0"/>
          <w:bCs w:val="0"/>
          <w:szCs w:val="44"/>
        </w:rPr>
        <w:t>工作方案</w:t>
      </w:r>
      <w:bookmarkEnd w:id="4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" w:eastAsia="仿宋_GB2312" w:cs="仿宋"/>
          <w:b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0"/>
          <w:sz w:val="32"/>
          <w:szCs w:val="32"/>
          <w:shd w:val="clear" w:color="auto" w:fill="FFFFFF"/>
          <w:lang w:val="en-US" w:eastAsia="zh-CN" w:bidi="ar-SA"/>
        </w:rPr>
        <w:t>根据《广东省商务厅关于开展跨境电商综合试验区建设相关工作的通知》（粤商务电函〔2022〕32号）要求，为发挥好优质跨境电商平台和企业的资源优势，实现跨境电商资源优化配置，在省商务厅指导下，我局将联合广东省电子商务协会举办中国（河源）跨境电子商务综合试验区资源对接活动。为顺利举办活动，现制定活动工作方案如下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 w:val="0"/>
          <w:sz w:val="32"/>
          <w:szCs w:val="32"/>
        </w:rPr>
        <w:t>一、</w:t>
      </w:r>
      <w:bookmarkEnd w:id="0"/>
      <w:r>
        <w:rPr>
          <w:rFonts w:hint="eastAsia" w:ascii="黑体" w:hAnsi="黑体" w:eastAsia="黑体" w:cs="仿宋"/>
          <w:b w:val="0"/>
          <w:sz w:val="32"/>
          <w:szCs w:val="32"/>
        </w:rPr>
        <w:t>活动</w:t>
      </w:r>
      <w:r>
        <w:rPr>
          <w:rFonts w:hint="eastAsia" w:ascii="黑体" w:hAnsi="黑体" w:eastAsia="黑体" w:cs="仿宋"/>
          <w:b w:val="0"/>
          <w:sz w:val="32"/>
          <w:szCs w:val="32"/>
          <w:lang w:eastAsia="zh-CN"/>
        </w:rPr>
        <w:t>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根据各类企业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经营现状和业务规划，定制化提供一站式服务，为企业匹配全链路优质资源（包括物流、支付、金融、VAT、商标、产品合规、ERP、选品、海外仓、海外营销等）</w:t>
      </w:r>
      <w:r>
        <w:rPr>
          <w:rFonts w:hint="eastAsia" w:ascii="仿宋_GB2312" w:eastAsia="仿宋_GB2312"/>
          <w:sz w:val="32"/>
          <w:szCs w:val="32"/>
          <w:lang w:eastAsia="zh-CN"/>
        </w:rPr>
        <w:t>。邀请</w:t>
      </w:r>
      <w:r>
        <w:rPr>
          <w:rFonts w:hint="eastAsia" w:ascii="仿宋_GB2312" w:eastAsia="仿宋_GB2312"/>
          <w:sz w:val="32"/>
          <w:szCs w:val="32"/>
        </w:rPr>
        <w:t>雨果亿级大卖讲师定向培训和企业诊断内训等方式孵化跨境人才（包括主流平台亚马逊、Ebay、wish、AE、东南亚双平台，新兴平台沃尔玛、美客多，以及品牌DTC、Facebook、Google、Tiktok等），全方位满足企业各类需求，带动当地跨境电商的快速发展，助力企业完成品牌出海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"/>
          <w:b w:val="0"/>
          <w:sz w:val="32"/>
          <w:szCs w:val="32"/>
        </w:rPr>
        <w:t>、活动主题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赋能广东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eastAsia="zh-CN"/>
        </w:rPr>
        <w:t>（河源）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智造，助力品牌出海--打造一站式产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shd w:val="clear" w:color="auto" w:fill="FFFFFF"/>
        </w:rPr>
        <w:t>业、人才孵化基地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bookmarkStart w:id="1" w:name="_Toc18978"/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三、活动规模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约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200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，各县（区）商务主管部门代表，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跨境电商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、品牌企业、进口贸易企业、品牌营销企业、电商代运营企业、电商物流企业、传统生产型企业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商贸企业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及创业团队等代表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"/>
          <w:b w:val="0"/>
          <w:sz w:val="32"/>
          <w:szCs w:val="32"/>
        </w:rPr>
        <w:t>、活动时间及</w:t>
      </w:r>
      <w:bookmarkEnd w:id="1"/>
      <w:r>
        <w:rPr>
          <w:rFonts w:hint="eastAsia" w:ascii="黑体" w:hAnsi="黑体" w:eastAsia="黑体" w:cs="仿宋"/>
          <w:b w:val="0"/>
          <w:sz w:val="32"/>
          <w:szCs w:val="32"/>
          <w:lang w:eastAsia="zh-CN"/>
        </w:rPr>
        <w:t>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时间：202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10月-11月，1天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具体时间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待定）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eastAsia="zh-CN"/>
        </w:rPr>
        <w:t>点：市区（</w:t>
      </w:r>
      <w:r>
        <w:rPr>
          <w:rFonts w:hint="eastAsia" w:ascii="仿宋_GB2312" w:eastAsia="仿宋_GB2312"/>
          <w:sz w:val="32"/>
          <w:szCs w:val="32"/>
        </w:rPr>
        <w:t>具体</w:t>
      </w:r>
      <w:r>
        <w:rPr>
          <w:rFonts w:hint="eastAsia" w:ascii="仿宋_GB2312" w:eastAsia="仿宋_GB2312"/>
          <w:sz w:val="32"/>
          <w:szCs w:val="32"/>
          <w:lang w:eastAsia="zh-CN"/>
        </w:rPr>
        <w:t>地点待定）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仿宋"/>
          <w:b w:val="0"/>
          <w:sz w:val="32"/>
          <w:szCs w:val="32"/>
        </w:rPr>
      </w:pPr>
      <w:bookmarkStart w:id="2" w:name="_Toc16729"/>
      <w:r>
        <w:rPr>
          <w:rFonts w:hint="eastAsia" w:ascii="黑体" w:hAnsi="黑体" w:eastAsia="黑体" w:cs="仿宋"/>
          <w:b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"/>
          <w:b w:val="0"/>
          <w:sz w:val="32"/>
          <w:szCs w:val="32"/>
        </w:rPr>
        <w:t>、组织机构</w:t>
      </w:r>
      <w:bookmarkEnd w:id="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shd w:val="clear" w:color="auto" w:fill="FFFFFF"/>
        </w:rPr>
        <w:t>指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导单位：广东省商务厅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主办单位：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河源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市商务局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、广东省电子商务协会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承办单位：</w:t>
      </w: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待定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协办单位：华南电子商务联盟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27" w:firstLineChars="696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广东省跨境电商产业联盟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各县（区）商务主管部门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  <w:lang w:eastAsia="zh-CN"/>
        </w:rPr>
        <w:t>第三方承办机构或企业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bookmarkStart w:id="3" w:name="_Toc21134"/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、具体分工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河源市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商务局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：起草活动工作方案，征求市财政局意见，并报市政府审批；指导承办、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协办单位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做好活动准备工作；组织各县（区）商务主管部门参加活动；请拨活动经费。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省电子商务协会、雨果跨境：负责活动具体落地实施、邀请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val="en-US" w:eastAsia="zh-CN"/>
        </w:rPr>
        <w:t>行业专家、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师资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及跨境平台、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val="en-US" w:eastAsia="zh-CN"/>
        </w:rPr>
        <w:t>跨境服务商组成资源对接团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黑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各县（区）商务主管部门：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负责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组织辖区内外贸等企业、有意开展跨境电商业务的各类市场主体参加活动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32"/>
          <w:szCs w:val="32"/>
          <w:shd w:val="clear" w:color="auto" w:fill="FFFFFF"/>
        </w:rPr>
        <w:t>承办单位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协助对接</w:t>
      </w:r>
      <w:r>
        <w:rPr>
          <w:rFonts w:hint="eastAsia" w:ascii="仿宋_GB2312" w:hAnsi="仿宋" w:eastAsia="仿宋_GB2312" w:cs="仿宋"/>
          <w:b w:val="0"/>
          <w:kern w:val="0"/>
          <w:sz w:val="32"/>
          <w:szCs w:val="32"/>
          <w:shd w:val="clear" w:color="auto" w:fill="FFFFFF"/>
          <w:lang w:val="en-US" w:eastAsia="zh-CN" w:bidi="ar-SA"/>
        </w:rPr>
        <w:t>广东省电子商务协会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，商谈有关活动事项；</w:t>
      </w:r>
      <w:r>
        <w:rPr>
          <w:rFonts w:hint="eastAsia" w:ascii="仿宋_GB2312" w:hAnsi="黑体" w:eastAsia="仿宋_GB2312" w:cs="Times New Roman"/>
          <w:b w:val="0"/>
          <w:bCs/>
          <w:sz w:val="32"/>
          <w:szCs w:val="32"/>
          <w:lang w:eastAsia="zh-CN"/>
        </w:rPr>
        <w:t>负责活动现场工作，包括场地、会务、收集参会人员名单、印刷活动资料、安保、防疫等工作；负责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做好活动宣传工作，对接联系媒体对活动进行宣传，扩大活动知晓率和参与率；负责</w:t>
      </w:r>
      <w:r>
        <w:rPr>
          <w:rFonts w:hint="eastAsia" w:ascii="仿宋_GB2312" w:eastAsia="仿宋_GB2312"/>
          <w:sz w:val="32"/>
          <w:szCs w:val="32"/>
        </w:rPr>
        <w:t>做好活动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统计工作，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将活动情况、费用结算情况等报送</w:t>
      </w:r>
      <w:r>
        <w:rPr>
          <w:rFonts w:hint="eastAsia" w:ascii="仿宋_GB2312" w:eastAsia="仿宋_GB2312"/>
          <w:sz w:val="32"/>
          <w:szCs w:val="32"/>
          <w:lang w:eastAsia="zh-CN"/>
        </w:rPr>
        <w:t>主办单位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 w:val="0"/>
          <w:bCs/>
          <w:sz w:val="32"/>
          <w:szCs w:val="32"/>
        </w:rPr>
        <w:t>协办单位：负责邀约相关企业参会。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七、活动日程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10:00-10:15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地市</w:t>
      </w:r>
      <w:r>
        <w:rPr>
          <w:rFonts w:hint="eastAsia" w:ascii="仿宋_GB2312" w:hAnsi="黑体" w:eastAsia="仿宋_GB2312" w:cs="Times New Roman"/>
          <w:sz w:val="32"/>
          <w:szCs w:val="32"/>
        </w:rPr>
        <w:t>商务局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领导</w:t>
      </w:r>
      <w:r>
        <w:rPr>
          <w:rFonts w:hint="eastAsia" w:ascii="仿宋_GB2312" w:hAnsi="黑体" w:eastAsia="仿宋_GB2312" w:cs="Times New Roman"/>
          <w:sz w:val="32"/>
          <w:szCs w:val="32"/>
        </w:rPr>
        <w:t>致辞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10:15-10:30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2022跨境电商</w:t>
      </w:r>
      <w:r>
        <w:rPr>
          <w:rFonts w:hint="eastAsia" w:ascii="仿宋_GB2312" w:hAnsi="黑体" w:eastAsia="仿宋_GB2312" w:cs="Times New Roman"/>
          <w:sz w:val="32"/>
          <w:szCs w:val="32"/>
        </w:rPr>
        <w:t>出海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展望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10:30-11:00 亚马逊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平台负责人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11:00-11:30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东南亚（日韩）平台负责人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11:30-12:00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TikTok（海外抖音）平台负责人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12:00-14:00 午餐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14:00-14:45 雨果亚马逊培训讲师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14:45-15:15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服务商代表发言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15:15-16:00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东南亚（日韩）</w:t>
      </w:r>
      <w:r>
        <w:rPr>
          <w:rFonts w:hint="eastAsia" w:ascii="仿宋_GB2312" w:hAnsi="黑体" w:eastAsia="仿宋_GB2312" w:cs="Times New Roman"/>
          <w:sz w:val="32"/>
          <w:szCs w:val="32"/>
        </w:rPr>
        <w:t>雨果培训讲师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16:00-16:45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TikTok（海外抖音）</w:t>
      </w:r>
      <w:r>
        <w:rPr>
          <w:rFonts w:hint="eastAsia" w:ascii="仿宋_GB2312" w:hAnsi="黑体" w:eastAsia="仿宋_GB2312" w:cs="Times New Roman"/>
          <w:sz w:val="32"/>
          <w:szCs w:val="32"/>
        </w:rPr>
        <w:t>雨果培训讲师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16:45-17:30 独立站雨果培训讲师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17:30-1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Times New Roman"/>
          <w:sz w:val="32"/>
          <w:szCs w:val="32"/>
        </w:rPr>
        <w:t>: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</w:rPr>
        <w:t>0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跨境生态服务商圆桌对话</w:t>
      </w:r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B16D6"/>
    <w:rsid w:val="585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2022-10-14T02:40:00Z</dcterms:created>
  <dc:creator>张文波</dc:creator>
  <cp:lastModifiedBy>张文波</cp:lastModifiedBy>
  <dcterms:modified xsi:type="dcterms:W3CDTF">2022-10-14T02:41:50Z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2E1BB06257AC4EF4ACDE751C1817CF78</vt:lpwstr>
  </property>
</Properties>
</file>