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GoBack"/>
      <w:bookmarkEnd w:id="0"/>
      <w:r>
        <w:rPr>
          <w:rFonts w:hint="eastAsia" w:ascii="黑体" w:hAnsi="黑体" w:eastAsia="黑体" w:cs="黑体"/>
          <w:b w:val="0"/>
          <w:bCs w:val="0"/>
          <w:color w:val="auto"/>
          <w:kern w:val="2"/>
          <w:sz w:val="32"/>
          <w:szCs w:val="32"/>
          <w:highlight w:val="none"/>
          <w:lang w:val="en-US" w:eastAsia="zh-CN"/>
        </w:rPr>
        <w:t>附件3</w:t>
      </w:r>
    </w:p>
    <w:p>
      <w:pPr>
        <w:keepNext w:val="0"/>
        <w:keepLines w:val="0"/>
        <w:pageBreakBefore w:val="0"/>
        <w:kinsoku/>
        <w:wordWrap/>
        <w:overflowPunct/>
        <w:topLinePunct w:val="0"/>
        <w:autoSpaceDE/>
        <w:autoSpaceDN/>
        <w:bidi w:val="0"/>
        <w:adjustRightInd/>
        <w:snapToGrid/>
        <w:spacing w:line="480" w:lineRule="exact"/>
        <w:jc w:val="left"/>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213" w:line="680" w:lineRule="exact"/>
        <w:jc w:val="center"/>
        <w:textAlignment w:val="baseline"/>
        <w:rPr>
          <w:rFonts w:hint="eastAsia" w:ascii="方正小标宋_GBK" w:hAnsi="方正小标宋_GBK" w:eastAsia="方正小标宋_GBK" w:cs="方正小标宋_GBK"/>
          <w:b w:val="0"/>
          <w:bCs w:val="0"/>
          <w:color w:val="auto"/>
          <w:spacing w:val="1"/>
          <w:sz w:val="44"/>
          <w:szCs w:val="44"/>
          <w:highlight w:val="none"/>
        </w:rPr>
      </w:pPr>
      <w:r>
        <w:rPr>
          <w:rFonts w:hint="eastAsia" w:ascii="方正小标宋_GBK" w:hAnsi="方正小标宋_GBK" w:eastAsia="方正小标宋_GBK" w:cs="方正小标宋_GBK"/>
          <w:b w:val="0"/>
          <w:bCs w:val="0"/>
          <w:color w:val="auto"/>
          <w:spacing w:val="1"/>
          <w:sz w:val="44"/>
          <w:szCs w:val="44"/>
          <w:highlight w:val="none"/>
        </w:rPr>
        <w:t>关于林业碳汇</w:t>
      </w:r>
      <w:r>
        <w:rPr>
          <w:rFonts w:hint="eastAsia" w:ascii="方正小标宋_GBK" w:hAnsi="方正小标宋_GBK" w:eastAsia="方正小标宋_GBK" w:cs="方正小标宋_GBK"/>
          <w:b w:val="0"/>
          <w:bCs w:val="0"/>
          <w:color w:val="auto"/>
          <w:spacing w:val="1"/>
          <w:sz w:val="44"/>
          <w:szCs w:val="44"/>
          <w:highlight w:val="none"/>
          <w:lang w:eastAsia="zh-CN"/>
        </w:rPr>
        <w:t>碳普惠</w:t>
      </w:r>
      <w:r>
        <w:rPr>
          <w:rFonts w:hint="eastAsia" w:ascii="方正小标宋_GBK" w:hAnsi="方正小标宋_GBK" w:eastAsia="方正小标宋_GBK" w:cs="方正小标宋_GBK"/>
          <w:b w:val="0"/>
          <w:bCs w:val="0"/>
          <w:color w:val="auto"/>
          <w:spacing w:val="1"/>
          <w:sz w:val="44"/>
          <w:szCs w:val="44"/>
          <w:highlight w:val="none"/>
        </w:rPr>
        <w:t>项目申报表决村民代表</w:t>
      </w:r>
    </w:p>
    <w:p>
      <w:pPr>
        <w:keepNext w:val="0"/>
        <w:keepLines w:val="0"/>
        <w:pageBreakBefore w:val="0"/>
        <w:widowControl/>
        <w:kinsoku w:val="0"/>
        <w:wordWrap/>
        <w:overflowPunct/>
        <w:topLinePunct w:val="0"/>
        <w:autoSpaceDE w:val="0"/>
        <w:autoSpaceDN w:val="0"/>
        <w:bidi w:val="0"/>
        <w:adjustRightInd w:val="0"/>
        <w:snapToGrid w:val="0"/>
        <w:spacing w:before="213" w:line="68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b w:val="0"/>
          <w:bCs w:val="0"/>
          <w:color w:val="auto"/>
          <w:spacing w:val="1"/>
          <w:sz w:val="44"/>
          <w:szCs w:val="44"/>
          <w:highlight w:val="none"/>
        </w:rPr>
        <w:t>大会</w:t>
      </w:r>
      <w:r>
        <w:rPr>
          <w:rFonts w:hint="eastAsia" w:ascii="方正小标宋_GBK" w:hAnsi="方正小标宋_GBK" w:eastAsia="方正小标宋_GBK" w:cs="方正小标宋_GBK"/>
          <w:b w:val="0"/>
          <w:bCs w:val="0"/>
          <w:color w:val="auto"/>
          <w:spacing w:val="4"/>
          <w:sz w:val="44"/>
          <w:szCs w:val="44"/>
          <w:highlight w:val="none"/>
        </w:rPr>
        <w:t>会议纪要及委托声明</w:t>
      </w:r>
      <w:r>
        <w:rPr>
          <w:rFonts w:hint="eastAsia" w:ascii="方正小标宋_GBK" w:hAnsi="方正小标宋_GBK" w:eastAsia="方正小标宋_GBK" w:cs="方正小标宋_GBK"/>
          <w:b w:val="0"/>
          <w:bCs w:val="0"/>
          <w:color w:val="auto"/>
          <w:sz w:val="44"/>
          <w:szCs w:val="44"/>
          <w:highlight w:val="none"/>
          <w:lang w:eastAsia="zh-CN"/>
        </w:rPr>
        <w:t>（模板）</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firstLine="550"/>
        <w:jc w:val="both"/>
        <w:textAlignment w:val="baseline"/>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rPr>
        <w:t>本村(</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村</w:t>
      </w:r>
      <w:r>
        <w:rPr>
          <w:rFonts w:hint="eastAsia" w:ascii="仿宋_GB2312" w:hAnsi="仿宋_GB2312" w:eastAsia="仿宋_GB2312" w:cs="仿宋_GB2312"/>
          <w:color w:val="auto"/>
          <w:spacing w:val="9"/>
          <w:sz w:val="32"/>
          <w:szCs w:val="32"/>
          <w:highlight w:val="none"/>
          <w:lang w:eastAsia="zh-CN"/>
        </w:rPr>
        <w:t>民委员会</w:t>
      </w:r>
      <w:r>
        <w:rPr>
          <w:rFonts w:hint="eastAsia" w:ascii="仿宋_GB2312" w:hAnsi="仿宋_GB2312" w:eastAsia="仿宋_GB2312" w:cs="仿宋_GB2312"/>
          <w:color w:val="auto"/>
          <w:spacing w:val="9"/>
          <w:sz w:val="32"/>
          <w:szCs w:val="32"/>
          <w:highlight w:val="none"/>
        </w:rPr>
        <w:t>)于</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日在村委会召开关于林业碳汇减排量项目申报及收益分配村民代表表决大会，村委已向参会村民代表充分讲解林业碳汇减排量项目申报的意义和收益分配原则，参会村民代表一致同意以村委会为项目申报主体，并聘请</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lang w:eastAsia="zh-CN"/>
        </w:rPr>
        <w:t>公司</w:t>
      </w:r>
      <w:r>
        <w:rPr>
          <w:rFonts w:hint="eastAsia" w:ascii="仿宋_GB2312" w:hAnsi="仿宋_GB2312" w:eastAsia="仿宋_GB2312" w:cs="仿宋_GB2312"/>
          <w:color w:val="auto"/>
          <w:spacing w:val="9"/>
          <w:sz w:val="32"/>
          <w:szCs w:val="32"/>
          <w:highlight w:val="none"/>
        </w:rPr>
        <w:t>作为该项目的技术咨询机构协助申报。我村村民代表大会达成以下会议纪要内容：</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90" w:lineRule="exact"/>
        <w:ind w:right="113" w:firstLine="676" w:firstLineChars="200"/>
        <w:jc w:val="both"/>
        <w:textAlignment w:val="baseline"/>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rPr>
        <w:t>村委会和参会村民代表充分讨论《林业碳汇减排量项目</w:t>
      </w:r>
      <w:r>
        <w:rPr>
          <w:rFonts w:hint="eastAsia" w:ascii="仿宋_GB2312" w:hAnsi="仿宋_GB2312" w:eastAsia="仿宋_GB2312" w:cs="仿宋_GB2312"/>
          <w:color w:val="auto"/>
          <w:spacing w:val="7"/>
          <w:sz w:val="32"/>
          <w:szCs w:val="32"/>
          <w:highlight w:val="none"/>
        </w:rPr>
        <w:t>合作开</w:t>
      </w:r>
      <w:r>
        <w:rPr>
          <w:rFonts w:hint="eastAsia" w:ascii="仿宋_GB2312" w:hAnsi="仿宋_GB2312" w:eastAsia="仿宋_GB2312" w:cs="仿宋_GB2312"/>
          <w:color w:val="auto"/>
          <w:spacing w:val="9"/>
          <w:sz w:val="32"/>
          <w:szCs w:val="32"/>
          <w:highlight w:val="none"/>
        </w:rPr>
        <w:t>发协议》</w:t>
      </w:r>
      <w:r>
        <w:rPr>
          <w:rFonts w:hint="eastAsia" w:ascii="仿宋_GB2312" w:hAnsi="仿宋_GB2312" w:eastAsia="仿宋_GB2312" w:cs="仿宋_GB2312"/>
          <w:color w:val="auto"/>
          <w:spacing w:val="9"/>
          <w:sz w:val="32"/>
          <w:szCs w:val="32"/>
          <w:highlight w:val="none"/>
          <w:lang w:eastAsia="zh-CN"/>
        </w:rPr>
        <w:t>，</w:t>
      </w:r>
      <w:r>
        <w:rPr>
          <w:rFonts w:hint="eastAsia" w:ascii="仿宋_GB2312" w:hAnsi="仿宋_GB2312" w:eastAsia="仿宋_GB2312" w:cs="仿宋_GB2312"/>
          <w:color w:val="auto"/>
          <w:spacing w:val="9"/>
          <w:sz w:val="32"/>
          <w:szCs w:val="32"/>
          <w:highlight w:val="none"/>
        </w:rPr>
        <w:t>一致同意协议的所有条款，并委托村委会作为参与本项目的全体村小组及村民的全权代表与</w:t>
      </w:r>
      <w:r>
        <w:rPr>
          <w:rFonts w:hint="eastAsia" w:ascii="仿宋_GB2312" w:hAnsi="仿宋_GB2312" w:eastAsia="仿宋_GB2312" w:cs="仿宋_GB2312"/>
          <w:color w:val="auto"/>
          <w:spacing w:val="9"/>
          <w:sz w:val="32"/>
          <w:szCs w:val="32"/>
          <w:highlight w:val="none"/>
          <w:u w:val="single"/>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90" w:lineRule="exact"/>
        <w:ind w:right="113" w:rightChars="0"/>
        <w:jc w:val="both"/>
        <w:textAlignment w:val="baseline"/>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lang w:eastAsia="zh-CN"/>
        </w:rPr>
        <w:t>公司</w:t>
      </w:r>
      <w:r>
        <w:rPr>
          <w:rFonts w:hint="eastAsia" w:ascii="仿宋_GB2312" w:hAnsi="仿宋_GB2312" w:eastAsia="仿宋_GB2312" w:cs="仿宋_GB2312"/>
          <w:color w:val="auto"/>
          <w:spacing w:val="9"/>
          <w:sz w:val="32"/>
          <w:szCs w:val="32"/>
          <w:highlight w:val="none"/>
        </w:rPr>
        <w:t>签订上述开发服务协议。</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firstLine="676" w:firstLineChars="200"/>
        <w:jc w:val="both"/>
        <w:textAlignment w:val="baseline"/>
        <w:rPr>
          <w:rFonts w:hint="eastAsia"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lang w:val="en-US" w:eastAsia="zh-CN"/>
        </w:rPr>
        <w:t>2、</w:t>
      </w:r>
      <w:r>
        <w:rPr>
          <w:rFonts w:hint="eastAsia" w:ascii="仿宋_GB2312" w:hAnsi="仿宋_GB2312" w:eastAsia="仿宋_GB2312" w:cs="仿宋_GB2312"/>
          <w:color w:val="auto"/>
          <w:spacing w:val="9"/>
          <w:sz w:val="32"/>
          <w:szCs w:val="32"/>
          <w:highlight w:val="none"/>
        </w:rPr>
        <w:t>全权委托</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lang w:eastAsia="zh-CN"/>
        </w:rPr>
        <w:t>公司</w:t>
      </w:r>
      <w:r>
        <w:rPr>
          <w:rFonts w:hint="eastAsia" w:ascii="仿宋_GB2312" w:hAnsi="仿宋_GB2312" w:eastAsia="仿宋_GB2312" w:cs="仿宋_GB2312"/>
          <w:color w:val="auto"/>
          <w:spacing w:val="9"/>
          <w:sz w:val="32"/>
          <w:szCs w:val="32"/>
          <w:highlight w:val="none"/>
        </w:rPr>
        <w:t>负责项目申报事宜，包括不限于材料的收集、数据的整理统计分析、申报材料的递交、交易</w:t>
      </w:r>
      <w:r>
        <w:rPr>
          <w:rFonts w:hint="eastAsia" w:ascii="仿宋_GB2312" w:hAnsi="仿宋_GB2312" w:eastAsia="仿宋_GB2312" w:cs="仿宋_GB2312"/>
          <w:color w:val="auto"/>
          <w:sz w:val="32"/>
          <w:szCs w:val="32"/>
          <w:highlight w:val="none"/>
        </w:rPr>
        <w:t>账户的开设、竞价交易(含</w:t>
      </w:r>
      <w:r>
        <w:rPr>
          <w:rFonts w:hint="eastAsia" w:ascii="仿宋_GB2312" w:hAnsi="仿宋_GB2312" w:eastAsia="仿宋_GB2312" w:cs="仿宋_GB2312"/>
          <w:color w:val="auto"/>
          <w:spacing w:val="14"/>
          <w:sz w:val="32"/>
          <w:szCs w:val="32"/>
          <w:highlight w:val="none"/>
        </w:rPr>
        <w:t>竞</w:t>
      </w:r>
      <w:r>
        <w:rPr>
          <w:rFonts w:hint="eastAsia" w:ascii="仿宋_GB2312" w:hAnsi="仿宋_GB2312" w:eastAsia="仿宋_GB2312" w:cs="仿宋_GB2312"/>
          <w:color w:val="auto"/>
          <w:spacing w:val="9"/>
          <w:sz w:val="32"/>
          <w:szCs w:val="32"/>
          <w:highlight w:val="none"/>
        </w:rPr>
        <w:t>价申请、竞价底价的设定)等相关事项</w:t>
      </w:r>
      <w:r>
        <w:rPr>
          <w:rFonts w:hint="eastAsia" w:ascii="仿宋_GB2312" w:hAnsi="仿宋_GB2312" w:eastAsia="仿宋_GB2312" w:cs="仿宋_GB2312"/>
          <w:color w:val="auto"/>
          <w:spacing w:val="9"/>
          <w:sz w:val="32"/>
          <w:szCs w:val="32"/>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firstLine="676" w:firstLineChars="200"/>
        <w:jc w:val="both"/>
        <w:textAlignment w:val="baseline"/>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lang w:val="en-US" w:eastAsia="zh-CN"/>
        </w:rPr>
        <w:t>3、</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lang w:eastAsia="zh-CN"/>
        </w:rPr>
        <w:t>公司</w:t>
      </w:r>
      <w:r>
        <w:rPr>
          <w:rFonts w:hint="eastAsia" w:ascii="仿宋_GB2312" w:hAnsi="仿宋_GB2312" w:eastAsia="仿宋_GB2312" w:cs="仿宋_GB2312"/>
          <w:color w:val="auto"/>
          <w:spacing w:val="9"/>
          <w:sz w:val="32"/>
          <w:szCs w:val="32"/>
          <w:highlight w:val="none"/>
        </w:rPr>
        <w:t>承担项目申报的前期费用，包括材料编写、打印复印、差旅费、项目审定</w:t>
      </w:r>
      <w:r>
        <w:rPr>
          <w:rFonts w:hint="eastAsia" w:ascii="仿宋_GB2312" w:hAnsi="仿宋_GB2312" w:eastAsia="仿宋_GB2312" w:cs="仿宋_GB2312"/>
          <w:color w:val="auto"/>
          <w:spacing w:val="9"/>
          <w:sz w:val="32"/>
          <w:szCs w:val="32"/>
          <w:highlight w:val="none"/>
          <w:lang w:eastAsia="zh-CN"/>
        </w:rPr>
        <w:t>核算</w:t>
      </w:r>
      <w:r>
        <w:rPr>
          <w:rFonts w:hint="eastAsia" w:ascii="仿宋_GB2312" w:hAnsi="仿宋_GB2312" w:eastAsia="仿宋_GB2312" w:cs="仿宋_GB2312"/>
          <w:color w:val="auto"/>
          <w:spacing w:val="9"/>
          <w:sz w:val="32"/>
          <w:szCs w:val="32"/>
          <w:highlight w:val="none"/>
        </w:rPr>
        <w:t>费等，上述费用无论项目是否申报成功，均由</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lang w:eastAsia="zh-CN"/>
        </w:rPr>
        <w:t>公司</w:t>
      </w:r>
      <w:r>
        <w:rPr>
          <w:rFonts w:hint="eastAsia" w:ascii="仿宋_GB2312" w:hAnsi="仿宋_GB2312" w:eastAsia="仿宋_GB2312" w:cs="仿宋_GB2312"/>
          <w:color w:val="auto"/>
          <w:spacing w:val="9"/>
          <w:sz w:val="32"/>
          <w:szCs w:val="32"/>
          <w:highlight w:val="none"/>
        </w:rPr>
        <w:t>自行承担。</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firstLine="676" w:firstLineChars="200"/>
        <w:jc w:val="both"/>
        <w:textAlignment w:val="baseline"/>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rPr>
        <w:t>4、广东省</w:t>
      </w:r>
      <w:r>
        <w:rPr>
          <w:rFonts w:hint="eastAsia" w:ascii="仿宋_GB2312" w:hAnsi="仿宋_GB2312" w:eastAsia="仿宋_GB2312" w:cs="仿宋_GB2312"/>
          <w:color w:val="auto"/>
          <w:spacing w:val="9"/>
          <w:sz w:val="32"/>
          <w:szCs w:val="32"/>
          <w:highlight w:val="none"/>
          <w:lang w:eastAsia="zh-CN"/>
        </w:rPr>
        <w:t>林业碳汇</w:t>
      </w:r>
      <w:r>
        <w:rPr>
          <w:rFonts w:hint="eastAsia" w:ascii="仿宋_GB2312" w:hAnsi="仿宋_GB2312" w:eastAsia="仿宋_GB2312" w:cs="仿宋_GB2312"/>
          <w:color w:val="auto"/>
          <w:spacing w:val="9"/>
          <w:sz w:val="32"/>
          <w:szCs w:val="32"/>
          <w:highlight w:val="none"/>
        </w:rPr>
        <w:t>碳普惠项目收益款按以下方式分配：</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firstLine="676" w:firstLineChars="200"/>
        <w:jc w:val="both"/>
        <w:textAlignment w:val="baseline"/>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rPr>
        <w:t>(1)</w:t>
      </w:r>
      <w:r>
        <w:rPr>
          <w:rFonts w:hint="eastAsia" w:ascii="仿宋_GB2312" w:hAnsi="仿宋_GB2312" w:eastAsia="仿宋_GB2312" w:cs="仿宋_GB2312"/>
          <w:color w:val="auto"/>
          <w:spacing w:val="9"/>
          <w:sz w:val="32"/>
          <w:szCs w:val="32"/>
          <w:highlight w:val="none"/>
          <w:lang w:val="en-US" w:eastAsia="zh-CN"/>
        </w:rPr>
        <w:t>5%（革命苏区老区及民族地区）或</w:t>
      </w:r>
      <w:r>
        <w:rPr>
          <w:rFonts w:hint="eastAsia" w:ascii="仿宋_GB2312" w:hAnsi="仿宋_GB2312" w:eastAsia="仿宋_GB2312" w:cs="仿宋_GB2312"/>
          <w:color w:val="auto"/>
          <w:spacing w:val="9"/>
          <w:sz w:val="32"/>
          <w:szCs w:val="32"/>
          <w:highlight w:val="none"/>
        </w:rPr>
        <w:t>10%</w:t>
      </w:r>
      <w:r>
        <w:rPr>
          <w:rFonts w:hint="eastAsia" w:ascii="仿宋_GB2312" w:hAnsi="仿宋_GB2312" w:eastAsia="仿宋_GB2312" w:cs="仿宋_GB2312"/>
          <w:color w:val="auto"/>
          <w:spacing w:val="9"/>
          <w:sz w:val="32"/>
          <w:szCs w:val="32"/>
          <w:highlight w:val="none"/>
          <w:lang w:eastAsia="zh-CN"/>
        </w:rPr>
        <w:t>（非革命老区苏区及民族地区）</w:t>
      </w:r>
      <w:r>
        <w:rPr>
          <w:rFonts w:hint="eastAsia" w:ascii="仿宋_GB2312" w:hAnsi="仿宋_GB2312" w:eastAsia="仿宋_GB2312" w:cs="仿宋_GB2312"/>
          <w:color w:val="auto"/>
          <w:spacing w:val="9"/>
          <w:sz w:val="32"/>
          <w:szCs w:val="32"/>
          <w:highlight w:val="none"/>
        </w:rPr>
        <w:t>作为咨询</w:t>
      </w:r>
      <w:r>
        <w:rPr>
          <w:rFonts w:hint="eastAsia" w:ascii="仿宋_GB2312" w:hAnsi="仿宋_GB2312" w:eastAsia="仿宋_GB2312" w:cs="仿宋_GB2312"/>
          <w:color w:val="auto"/>
          <w:spacing w:val="9"/>
          <w:sz w:val="32"/>
          <w:szCs w:val="32"/>
          <w:highlight w:val="none"/>
          <w:lang w:eastAsia="zh-CN"/>
        </w:rPr>
        <w:t>核算</w:t>
      </w:r>
      <w:r>
        <w:rPr>
          <w:rFonts w:hint="eastAsia" w:ascii="仿宋_GB2312" w:hAnsi="仿宋_GB2312" w:eastAsia="仿宋_GB2312" w:cs="仿宋_GB2312"/>
          <w:color w:val="auto"/>
          <w:spacing w:val="9"/>
          <w:sz w:val="32"/>
          <w:szCs w:val="32"/>
          <w:highlight w:val="none"/>
        </w:rPr>
        <w:t>费等，由</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公司支配。</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90" w:lineRule="exact"/>
        <w:ind w:right="113" w:firstLine="676" w:firstLineChars="200"/>
        <w:jc w:val="both"/>
        <w:textAlignment w:val="baseline"/>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rPr>
        <w:t>(</w:t>
      </w:r>
      <w:r>
        <w:rPr>
          <w:rFonts w:hint="eastAsia" w:ascii="仿宋_GB2312" w:hAnsi="仿宋_GB2312" w:eastAsia="仿宋_GB2312" w:cs="仿宋_GB2312"/>
          <w:color w:val="auto"/>
          <w:spacing w:val="9"/>
          <w:sz w:val="32"/>
          <w:szCs w:val="32"/>
          <w:highlight w:val="none"/>
          <w:lang w:val="en-US" w:eastAsia="zh-CN"/>
        </w:rPr>
        <w:t>2</w:t>
      </w:r>
      <w:r>
        <w:rPr>
          <w:rFonts w:hint="eastAsia" w:ascii="仿宋_GB2312" w:hAnsi="仿宋_GB2312" w:eastAsia="仿宋_GB2312" w:cs="仿宋_GB2312"/>
          <w:color w:val="auto"/>
          <w:spacing w:val="9"/>
          <w:sz w:val="32"/>
          <w:szCs w:val="32"/>
          <w:highlight w:val="none"/>
        </w:rPr>
        <w:t>)</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%归村委会统筹协调，主要用于村里林地管护防火、公共建设和公益事业等支出。</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firstLine="676" w:firstLineChars="200"/>
        <w:jc w:val="both"/>
        <w:textAlignment w:val="baseline"/>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rPr>
        <w:t>(3)</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的收益根据用于申请林业碳汇减排量项目的林权证明上显示的地块面积所占比例分摊到林木所有权属的村委会/村民小组/个人；对于涉及村民个人承包到户的林地(如自留山、责任山),经村民个人同意，相应的林业碳汇减排量项目收益归所在村民小组统筹分配。</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firstLine="676" w:firstLineChars="200"/>
        <w:jc w:val="both"/>
        <w:textAlignment w:val="baseline"/>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rPr>
        <w:t>5、村委会作为全权代表在项目申报材料、交易开户等程序中签名盖章。</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firstLine="676" w:firstLineChars="200"/>
        <w:jc w:val="both"/>
        <w:textAlignment w:val="baseline"/>
        <w:rPr>
          <w:rFonts w:hint="eastAsia" w:ascii="仿宋_GB2312" w:hAnsi="仿宋_GB2312" w:eastAsia="仿宋_GB2312" w:cs="仿宋_GB2312"/>
          <w:color w:val="auto"/>
          <w:spacing w:val="9"/>
          <w:sz w:val="32"/>
          <w:szCs w:val="32"/>
          <w:highlight w:val="none"/>
        </w:rPr>
      </w:pPr>
      <w:r>
        <w:rPr>
          <w:rFonts w:hint="eastAsia" w:ascii="仿宋_GB2312" w:hAnsi="仿宋_GB2312" w:eastAsia="仿宋_GB2312" w:cs="仿宋_GB2312"/>
          <w:color w:val="auto"/>
          <w:spacing w:val="9"/>
          <w:sz w:val="32"/>
          <w:szCs w:val="32"/>
          <w:highlight w:val="none"/>
        </w:rPr>
        <w:t>本会议纪要及附件委托声明将作为林业碳汇</w:t>
      </w:r>
      <w:r>
        <w:rPr>
          <w:rFonts w:hint="eastAsia" w:ascii="仿宋_GB2312" w:hAnsi="仿宋_GB2312" w:eastAsia="仿宋_GB2312" w:cs="仿宋_GB2312"/>
          <w:color w:val="auto"/>
          <w:spacing w:val="9"/>
          <w:sz w:val="32"/>
          <w:szCs w:val="32"/>
          <w:highlight w:val="none"/>
          <w:lang w:eastAsia="zh-CN"/>
        </w:rPr>
        <w:t>碳普惠</w:t>
      </w:r>
      <w:r>
        <w:rPr>
          <w:rFonts w:hint="eastAsia" w:ascii="仿宋_GB2312" w:hAnsi="仿宋_GB2312" w:eastAsia="仿宋_GB2312" w:cs="仿宋_GB2312"/>
          <w:color w:val="auto"/>
          <w:spacing w:val="9"/>
          <w:sz w:val="32"/>
          <w:szCs w:val="32"/>
          <w:highlight w:val="none"/>
        </w:rPr>
        <w:t>项目申报及收益分配的依据，特此说明。</w:t>
      </w:r>
    </w:p>
    <w:p>
      <w:pPr>
        <w:keepNext w:val="0"/>
        <w:keepLines w:val="0"/>
        <w:pageBreakBefore w:val="0"/>
        <w:widowControl/>
        <w:kinsoku w:val="0"/>
        <w:wordWrap/>
        <w:overflowPunct/>
        <w:topLinePunct w:val="0"/>
        <w:autoSpaceDE w:val="0"/>
        <w:autoSpaceDN w:val="0"/>
        <w:bidi w:val="0"/>
        <w:adjustRightInd w:val="0"/>
        <w:snapToGrid w:val="0"/>
        <w:spacing w:line="590" w:lineRule="exact"/>
        <w:jc w:val="both"/>
        <w:textAlignment w:val="baseline"/>
        <w:rPr>
          <w:rFonts w:hint="eastAsia" w:ascii="仿宋_GB2312" w:hAnsi="仿宋_GB2312" w:eastAsia="仿宋_GB2312" w:cs="仿宋_GB2312"/>
          <w:color w:val="auto"/>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90" w:lineRule="exact"/>
        <w:jc w:val="both"/>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附签字盖章表</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firstLine="550"/>
        <w:jc w:val="right"/>
        <w:textAlignment w:val="baseline"/>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村民委员会</w:t>
      </w:r>
      <w:r>
        <w:rPr>
          <w:rFonts w:hint="eastAsia" w:ascii="仿宋_GB2312" w:hAnsi="仿宋_GB2312" w:eastAsia="仿宋_GB2312" w:cs="仿宋_GB2312"/>
          <w:color w:val="auto"/>
          <w:spacing w:val="9"/>
          <w:sz w:val="32"/>
          <w:szCs w:val="32"/>
          <w:highlight w:val="none"/>
          <w:lang w:val="en-US" w:eastAsia="zh-CN"/>
        </w:rPr>
        <w:t>(盖章）</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firstLine="550"/>
        <w:jc w:val="right"/>
        <w:textAlignment w:val="baseline"/>
        <w:rPr>
          <w:rFonts w:hint="eastAsia" w:ascii="仿宋_GB2312" w:hAnsi="仿宋_GB2312" w:eastAsia="仿宋_GB2312" w:cs="仿宋_GB2312"/>
          <w:color w:val="auto"/>
          <w:spacing w:val="9"/>
          <w:sz w:val="32"/>
          <w:szCs w:val="32"/>
          <w:highlight w:val="none"/>
          <w:u w:val="none"/>
          <w:lang w:val="en-US" w:eastAsia="zh-CN"/>
        </w:rPr>
      </w:pP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年</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rPr>
        <w:t>月</w:t>
      </w:r>
      <w:r>
        <w:rPr>
          <w:rFonts w:hint="eastAsia" w:ascii="仿宋_GB2312" w:hAnsi="仿宋_GB2312" w:eastAsia="仿宋_GB2312" w:cs="仿宋_GB2312"/>
          <w:color w:val="auto"/>
          <w:spacing w:val="9"/>
          <w:sz w:val="32"/>
          <w:szCs w:val="32"/>
          <w:highlight w:val="none"/>
          <w:u w:val="single"/>
          <w:lang w:val="en-US" w:eastAsia="zh-CN"/>
        </w:rPr>
        <w:t xml:space="preserve">  </w:t>
      </w:r>
      <w:r>
        <w:rPr>
          <w:rFonts w:hint="eastAsia" w:ascii="仿宋_GB2312" w:hAnsi="仿宋_GB2312" w:eastAsia="仿宋_GB2312" w:cs="仿宋_GB2312"/>
          <w:color w:val="auto"/>
          <w:spacing w:val="9"/>
          <w:sz w:val="32"/>
          <w:szCs w:val="32"/>
          <w:highlight w:val="none"/>
          <w:u w:val="none"/>
          <w:lang w:val="en-US" w:eastAsia="zh-CN"/>
        </w:rPr>
        <w:t>日</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firstLine="550"/>
        <w:jc w:val="right"/>
        <w:textAlignment w:val="baseline"/>
        <w:rPr>
          <w:rFonts w:hint="eastAsia" w:ascii="仿宋_GB2312" w:hAnsi="仿宋_GB2312" w:eastAsia="仿宋_GB2312" w:cs="仿宋_GB2312"/>
          <w:color w:val="auto"/>
          <w:spacing w:val="9"/>
          <w:sz w:val="32"/>
          <w:szCs w:val="32"/>
          <w:highlight w:val="none"/>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jc w:val="center"/>
        <w:textAlignment w:val="baseline"/>
        <w:rPr>
          <w:rFonts w:hint="eastAsia" w:ascii="方正小标宋_GBK" w:hAnsi="方正小标宋_GBK" w:eastAsia="方正小标宋_GBK" w:cs="方正小标宋_GBK"/>
          <w:color w:val="auto"/>
          <w:spacing w:val="9"/>
          <w:sz w:val="44"/>
          <w:szCs w:val="44"/>
          <w:highlight w:val="none"/>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jc w:val="center"/>
        <w:textAlignment w:val="baseline"/>
        <w:rPr>
          <w:rFonts w:hint="eastAsia" w:ascii="方正小标宋_GBK" w:hAnsi="方正小标宋_GBK" w:eastAsia="方正小标宋_GBK" w:cs="方正小标宋_GBK"/>
          <w:color w:val="auto"/>
          <w:spacing w:val="9"/>
          <w:sz w:val="44"/>
          <w:szCs w:val="44"/>
          <w:highlight w:val="none"/>
          <w:u w:val="none"/>
          <w:lang w:val="en-US" w:eastAsia="zh-CN"/>
        </w:rPr>
      </w:pPr>
      <w:r>
        <w:rPr>
          <w:rFonts w:hint="eastAsia" w:ascii="方正小标宋_GBK" w:hAnsi="方正小标宋_GBK" w:eastAsia="方正小标宋_GBK" w:cs="方正小标宋_GBK"/>
          <w:color w:val="auto"/>
          <w:spacing w:val="9"/>
          <w:sz w:val="44"/>
          <w:szCs w:val="44"/>
          <w:highlight w:val="none"/>
          <w:u w:val="none"/>
          <w:lang w:val="en-US" w:eastAsia="zh-CN"/>
        </w:rPr>
        <w:t>签字盖章表（模板）</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jc w:val="center"/>
        <w:textAlignment w:val="baseline"/>
        <w:rPr>
          <w:rFonts w:hint="eastAsia" w:ascii="仿宋_GB2312" w:hAnsi="仿宋_GB2312" w:eastAsia="仿宋_GB2312" w:cs="仿宋_GB2312"/>
          <w:color w:val="auto"/>
          <w:spacing w:val="9"/>
          <w:sz w:val="30"/>
          <w:szCs w:val="30"/>
          <w:highlight w:val="none"/>
          <w:u w:val="none"/>
          <w:lang w:val="en-US" w:eastAsia="zh-CN"/>
        </w:rPr>
      </w:pPr>
      <w:r>
        <w:rPr>
          <w:rFonts w:hint="eastAsia" w:ascii="仿宋_GB2312" w:hAnsi="仿宋_GB2312" w:eastAsia="仿宋_GB2312" w:cs="仿宋_GB2312"/>
          <w:color w:val="auto"/>
          <w:spacing w:val="9"/>
          <w:sz w:val="30"/>
          <w:szCs w:val="30"/>
          <w:highlight w:val="none"/>
          <w:u w:val="none"/>
          <w:lang w:val="en-US" w:eastAsia="zh-CN"/>
        </w:rPr>
        <w:t>（参与申报的村小组签字并盖村小组公章，个人签字并按指印）</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jc w:val="center"/>
        <w:textAlignment w:val="baseline"/>
        <w:rPr>
          <w:rFonts w:hint="eastAsia" w:ascii="仿宋_GB2312" w:hAnsi="仿宋_GB2312" w:eastAsia="仿宋_GB2312" w:cs="仿宋_GB2312"/>
          <w:color w:val="auto"/>
          <w:spacing w:val="9"/>
          <w:sz w:val="30"/>
          <w:szCs w:val="30"/>
          <w:highlight w:val="none"/>
          <w:u w:val="none"/>
          <w:lang w:val="en-US" w:eastAsia="zh-CN"/>
        </w:rPr>
      </w:pPr>
    </w:p>
    <w:tbl>
      <w:tblPr>
        <w:tblStyle w:val="10"/>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72"/>
        <w:gridCol w:w="4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260" w:type="dxa"/>
            <w:vAlign w:val="center"/>
          </w:tcPr>
          <w:p>
            <w:pPr>
              <w:keepNext w:val="0"/>
              <w:keepLines w:val="0"/>
              <w:pageBreakBefore w:val="0"/>
              <w:wordWrap/>
              <w:overflowPunct/>
              <w:topLinePunct w:val="0"/>
              <w:bidi w:val="0"/>
              <w:spacing w:before="278" w:line="400" w:lineRule="exact"/>
              <w:jc w:val="center"/>
              <w:rPr>
                <w:rFonts w:hint="eastAsia" w:ascii="仿宋_GB2312" w:hAnsi="仿宋_GB2312" w:eastAsia="仿宋_GB2312" w:cs="仿宋_GB2312"/>
                <w:color w:val="auto"/>
                <w:spacing w:val="-17"/>
                <w:sz w:val="29"/>
                <w:szCs w:val="29"/>
                <w:highlight w:val="none"/>
                <w:vertAlign w:val="baseline"/>
                <w:lang w:eastAsia="zh-CN"/>
              </w:rPr>
            </w:pPr>
            <w:r>
              <w:rPr>
                <w:rFonts w:hint="eastAsia" w:ascii="仿宋_GB2312" w:hAnsi="仿宋_GB2312" w:eastAsia="仿宋_GB2312" w:cs="仿宋_GB2312"/>
                <w:color w:val="auto"/>
                <w:spacing w:val="-17"/>
                <w:sz w:val="29"/>
                <w:szCs w:val="29"/>
                <w:highlight w:val="none"/>
                <w:vertAlign w:val="baseline"/>
                <w:lang w:eastAsia="zh-CN"/>
              </w:rPr>
              <w:t>序号</w:t>
            </w:r>
          </w:p>
        </w:tc>
        <w:tc>
          <w:tcPr>
            <w:tcW w:w="3572" w:type="dxa"/>
            <w:vAlign w:val="center"/>
          </w:tcPr>
          <w:p>
            <w:pPr>
              <w:keepNext w:val="0"/>
              <w:keepLines w:val="0"/>
              <w:pageBreakBefore w:val="0"/>
              <w:wordWrap/>
              <w:overflowPunct/>
              <w:topLinePunct w:val="0"/>
              <w:bidi w:val="0"/>
              <w:spacing w:before="278" w:line="400" w:lineRule="exact"/>
              <w:jc w:val="center"/>
              <w:rPr>
                <w:rFonts w:hint="eastAsia" w:ascii="仿宋_GB2312" w:hAnsi="仿宋_GB2312" w:eastAsia="仿宋_GB2312" w:cs="仿宋_GB2312"/>
                <w:color w:val="auto"/>
                <w:spacing w:val="-17"/>
                <w:sz w:val="29"/>
                <w:szCs w:val="29"/>
                <w:highlight w:val="none"/>
                <w:vertAlign w:val="baseline"/>
                <w:lang w:eastAsia="zh-CN"/>
              </w:rPr>
            </w:pPr>
            <w:r>
              <w:rPr>
                <w:rFonts w:hint="eastAsia" w:ascii="仿宋_GB2312" w:hAnsi="仿宋_GB2312" w:eastAsia="仿宋_GB2312" w:cs="仿宋_GB2312"/>
                <w:color w:val="auto"/>
                <w:spacing w:val="-17"/>
                <w:sz w:val="29"/>
                <w:szCs w:val="29"/>
                <w:highlight w:val="none"/>
                <w:vertAlign w:val="baseline"/>
                <w:lang w:eastAsia="zh-CN"/>
              </w:rPr>
              <w:t>参会人员</w:t>
            </w:r>
          </w:p>
          <w:p>
            <w:pPr>
              <w:keepNext w:val="0"/>
              <w:keepLines w:val="0"/>
              <w:pageBreakBefore w:val="0"/>
              <w:wordWrap/>
              <w:overflowPunct/>
              <w:topLinePunct w:val="0"/>
              <w:bidi w:val="0"/>
              <w:spacing w:before="278" w:line="400" w:lineRule="exact"/>
              <w:jc w:val="center"/>
              <w:rPr>
                <w:rFonts w:hint="eastAsia" w:ascii="仿宋_GB2312" w:hAnsi="仿宋_GB2312" w:eastAsia="仿宋_GB2312" w:cs="仿宋_GB2312"/>
                <w:color w:val="auto"/>
                <w:spacing w:val="-17"/>
                <w:sz w:val="29"/>
                <w:szCs w:val="29"/>
                <w:highlight w:val="none"/>
                <w:vertAlign w:val="baseline"/>
                <w:lang w:eastAsia="zh-CN"/>
              </w:rPr>
            </w:pPr>
            <w:r>
              <w:rPr>
                <w:rFonts w:hint="eastAsia" w:ascii="仿宋_GB2312" w:hAnsi="仿宋_GB2312" w:eastAsia="仿宋_GB2312" w:cs="仿宋_GB2312"/>
                <w:color w:val="auto"/>
                <w:spacing w:val="-17"/>
                <w:sz w:val="29"/>
                <w:szCs w:val="29"/>
                <w:highlight w:val="none"/>
                <w:vertAlign w:val="baseline"/>
                <w:lang w:eastAsia="zh-CN"/>
              </w:rPr>
              <w:t>（村小组或村民个人）</w:t>
            </w:r>
          </w:p>
        </w:tc>
        <w:tc>
          <w:tcPr>
            <w:tcW w:w="4486" w:type="dxa"/>
            <w:vAlign w:val="center"/>
          </w:tcPr>
          <w:p>
            <w:pPr>
              <w:keepNext w:val="0"/>
              <w:keepLines w:val="0"/>
              <w:pageBreakBefore w:val="0"/>
              <w:wordWrap/>
              <w:overflowPunct/>
              <w:topLinePunct w:val="0"/>
              <w:bidi w:val="0"/>
              <w:spacing w:before="278" w:line="400" w:lineRule="exact"/>
              <w:jc w:val="center"/>
              <w:rPr>
                <w:rFonts w:hint="eastAsia" w:ascii="仿宋_GB2312" w:hAnsi="仿宋_GB2312" w:eastAsia="仿宋_GB2312" w:cs="仿宋_GB2312"/>
                <w:color w:val="auto"/>
                <w:spacing w:val="-17"/>
                <w:sz w:val="29"/>
                <w:szCs w:val="29"/>
                <w:highlight w:val="none"/>
                <w:vertAlign w:val="baseline"/>
                <w:lang w:eastAsia="zh-CN"/>
              </w:rPr>
            </w:pPr>
            <w:r>
              <w:rPr>
                <w:rFonts w:hint="eastAsia" w:ascii="仿宋_GB2312" w:hAnsi="仿宋_GB2312" w:eastAsia="仿宋_GB2312" w:cs="仿宋_GB2312"/>
                <w:color w:val="auto"/>
                <w:spacing w:val="-17"/>
                <w:sz w:val="29"/>
                <w:szCs w:val="29"/>
                <w:highlight w:val="none"/>
                <w:vertAlign w:val="baseline"/>
                <w:lang w:eastAsia="zh-CN"/>
              </w:rPr>
              <w:t>签字盖章区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260" w:type="dxa"/>
            <w:vAlign w:val="center"/>
          </w:tcPr>
          <w:p>
            <w:pPr>
              <w:keepNext w:val="0"/>
              <w:keepLines w:val="0"/>
              <w:pageBreakBefore w:val="0"/>
              <w:wordWrap/>
              <w:overflowPunct/>
              <w:topLinePunct w:val="0"/>
              <w:bidi w:val="0"/>
              <w:spacing w:before="278" w:line="400" w:lineRule="exact"/>
              <w:jc w:val="center"/>
              <w:rPr>
                <w:rFonts w:hint="default" w:ascii="宋体" w:hAnsi="宋体" w:eastAsia="宋体" w:cs="宋体"/>
                <w:color w:val="auto"/>
                <w:spacing w:val="-17"/>
                <w:sz w:val="29"/>
                <w:szCs w:val="29"/>
                <w:highlight w:val="none"/>
                <w:vertAlign w:val="baseline"/>
                <w:lang w:val="en-US" w:eastAsia="zh-CN"/>
              </w:rPr>
            </w:pPr>
            <w:r>
              <w:rPr>
                <w:rFonts w:hint="eastAsia" w:ascii="宋体" w:hAnsi="宋体" w:eastAsia="宋体" w:cs="宋体"/>
                <w:color w:val="auto"/>
                <w:spacing w:val="-17"/>
                <w:sz w:val="29"/>
                <w:szCs w:val="29"/>
                <w:highlight w:val="none"/>
                <w:vertAlign w:val="baseline"/>
                <w:lang w:val="en-US" w:eastAsia="zh-CN"/>
              </w:rPr>
              <w:t>1</w:t>
            </w:r>
          </w:p>
        </w:tc>
        <w:tc>
          <w:tcPr>
            <w:tcW w:w="3572"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eastAsia="zh-CN"/>
              </w:rPr>
            </w:pPr>
          </w:p>
        </w:tc>
        <w:tc>
          <w:tcPr>
            <w:tcW w:w="4486"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260" w:type="dxa"/>
            <w:vAlign w:val="center"/>
          </w:tcPr>
          <w:p>
            <w:pPr>
              <w:keepNext w:val="0"/>
              <w:keepLines w:val="0"/>
              <w:pageBreakBefore w:val="0"/>
              <w:wordWrap/>
              <w:overflowPunct/>
              <w:topLinePunct w:val="0"/>
              <w:bidi w:val="0"/>
              <w:spacing w:before="278" w:line="400" w:lineRule="exact"/>
              <w:jc w:val="center"/>
              <w:rPr>
                <w:rFonts w:hint="default" w:ascii="宋体" w:hAnsi="宋体" w:eastAsia="宋体" w:cs="宋体"/>
                <w:color w:val="auto"/>
                <w:spacing w:val="-17"/>
                <w:sz w:val="29"/>
                <w:szCs w:val="29"/>
                <w:highlight w:val="none"/>
                <w:vertAlign w:val="baseline"/>
                <w:lang w:val="en-US" w:eastAsia="zh-CN"/>
              </w:rPr>
            </w:pPr>
            <w:r>
              <w:rPr>
                <w:rFonts w:hint="eastAsia" w:ascii="宋体" w:hAnsi="宋体" w:eastAsia="宋体" w:cs="宋体"/>
                <w:color w:val="auto"/>
                <w:spacing w:val="-17"/>
                <w:sz w:val="29"/>
                <w:szCs w:val="29"/>
                <w:highlight w:val="none"/>
                <w:vertAlign w:val="baseline"/>
                <w:lang w:val="en-US" w:eastAsia="zh-CN"/>
              </w:rPr>
              <w:t>2</w:t>
            </w:r>
          </w:p>
        </w:tc>
        <w:tc>
          <w:tcPr>
            <w:tcW w:w="3572"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eastAsia="zh-CN"/>
              </w:rPr>
            </w:pPr>
          </w:p>
        </w:tc>
        <w:tc>
          <w:tcPr>
            <w:tcW w:w="4486"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260" w:type="dxa"/>
            <w:vAlign w:val="center"/>
          </w:tcPr>
          <w:p>
            <w:pPr>
              <w:keepNext w:val="0"/>
              <w:keepLines w:val="0"/>
              <w:pageBreakBefore w:val="0"/>
              <w:wordWrap/>
              <w:overflowPunct/>
              <w:topLinePunct w:val="0"/>
              <w:bidi w:val="0"/>
              <w:spacing w:before="278" w:line="400" w:lineRule="exact"/>
              <w:jc w:val="center"/>
              <w:rPr>
                <w:rFonts w:hint="default" w:ascii="宋体" w:hAnsi="宋体" w:eastAsia="宋体" w:cs="宋体"/>
                <w:color w:val="auto"/>
                <w:spacing w:val="-17"/>
                <w:sz w:val="29"/>
                <w:szCs w:val="29"/>
                <w:highlight w:val="none"/>
                <w:vertAlign w:val="baseline"/>
                <w:lang w:val="en-US" w:eastAsia="zh-CN"/>
              </w:rPr>
            </w:pPr>
            <w:r>
              <w:rPr>
                <w:rFonts w:hint="eastAsia" w:ascii="宋体" w:hAnsi="宋体" w:eastAsia="宋体" w:cs="宋体"/>
                <w:color w:val="auto"/>
                <w:spacing w:val="-17"/>
                <w:sz w:val="29"/>
                <w:szCs w:val="29"/>
                <w:highlight w:val="none"/>
                <w:vertAlign w:val="baseline"/>
                <w:lang w:val="en-US" w:eastAsia="zh-CN"/>
              </w:rPr>
              <w:t>3</w:t>
            </w:r>
          </w:p>
        </w:tc>
        <w:tc>
          <w:tcPr>
            <w:tcW w:w="3572"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eastAsia="zh-CN"/>
              </w:rPr>
            </w:pPr>
          </w:p>
        </w:tc>
        <w:tc>
          <w:tcPr>
            <w:tcW w:w="4486"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260" w:type="dxa"/>
            <w:vAlign w:val="center"/>
          </w:tcPr>
          <w:p>
            <w:pPr>
              <w:keepNext w:val="0"/>
              <w:keepLines w:val="0"/>
              <w:pageBreakBefore w:val="0"/>
              <w:wordWrap/>
              <w:overflowPunct/>
              <w:topLinePunct w:val="0"/>
              <w:bidi w:val="0"/>
              <w:spacing w:before="278" w:line="400" w:lineRule="exact"/>
              <w:jc w:val="center"/>
              <w:rPr>
                <w:rFonts w:hint="default" w:ascii="宋体" w:hAnsi="宋体" w:eastAsia="宋体" w:cs="宋体"/>
                <w:color w:val="auto"/>
                <w:spacing w:val="-17"/>
                <w:sz w:val="29"/>
                <w:szCs w:val="29"/>
                <w:highlight w:val="none"/>
                <w:vertAlign w:val="baseline"/>
                <w:lang w:val="en-US" w:eastAsia="zh-CN"/>
              </w:rPr>
            </w:pPr>
            <w:r>
              <w:rPr>
                <w:rFonts w:hint="eastAsia" w:ascii="宋体" w:hAnsi="宋体" w:eastAsia="宋体" w:cs="宋体"/>
                <w:color w:val="auto"/>
                <w:spacing w:val="-17"/>
                <w:sz w:val="29"/>
                <w:szCs w:val="29"/>
                <w:highlight w:val="none"/>
                <w:vertAlign w:val="baseline"/>
                <w:lang w:val="en-US" w:eastAsia="zh-CN"/>
              </w:rPr>
              <w:t>...</w:t>
            </w:r>
          </w:p>
        </w:tc>
        <w:tc>
          <w:tcPr>
            <w:tcW w:w="3572"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eastAsia="zh-CN"/>
              </w:rPr>
            </w:pPr>
          </w:p>
        </w:tc>
        <w:tc>
          <w:tcPr>
            <w:tcW w:w="4486"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260" w:type="dxa"/>
            <w:vAlign w:val="center"/>
          </w:tcPr>
          <w:p>
            <w:pPr>
              <w:keepNext w:val="0"/>
              <w:keepLines w:val="0"/>
              <w:pageBreakBefore w:val="0"/>
              <w:wordWrap/>
              <w:overflowPunct/>
              <w:topLinePunct w:val="0"/>
              <w:bidi w:val="0"/>
              <w:spacing w:before="278" w:line="400" w:lineRule="exact"/>
              <w:jc w:val="center"/>
              <w:rPr>
                <w:rFonts w:hint="default" w:ascii="宋体" w:hAnsi="宋体" w:eastAsia="宋体" w:cs="宋体"/>
                <w:color w:val="auto"/>
                <w:spacing w:val="-17"/>
                <w:sz w:val="29"/>
                <w:szCs w:val="29"/>
                <w:highlight w:val="none"/>
                <w:vertAlign w:val="baseline"/>
                <w:lang w:val="en-US" w:eastAsia="zh-CN"/>
              </w:rPr>
            </w:pPr>
            <w:r>
              <w:rPr>
                <w:rFonts w:hint="eastAsia" w:ascii="宋体" w:hAnsi="宋体" w:eastAsia="宋体" w:cs="宋体"/>
                <w:color w:val="auto"/>
                <w:spacing w:val="-17"/>
                <w:sz w:val="29"/>
                <w:szCs w:val="29"/>
                <w:highlight w:val="none"/>
                <w:vertAlign w:val="baseline"/>
                <w:lang w:val="en-US" w:eastAsia="zh-CN"/>
              </w:rPr>
              <w:t>...</w:t>
            </w:r>
          </w:p>
        </w:tc>
        <w:tc>
          <w:tcPr>
            <w:tcW w:w="3572"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eastAsia="zh-CN"/>
              </w:rPr>
            </w:pPr>
          </w:p>
        </w:tc>
        <w:tc>
          <w:tcPr>
            <w:tcW w:w="4486"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260"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val="en-US" w:eastAsia="zh-CN"/>
              </w:rPr>
            </w:pPr>
            <w:r>
              <w:rPr>
                <w:rFonts w:hint="eastAsia" w:ascii="宋体" w:hAnsi="宋体" w:eastAsia="宋体" w:cs="宋体"/>
                <w:color w:val="auto"/>
                <w:spacing w:val="-17"/>
                <w:sz w:val="29"/>
                <w:szCs w:val="29"/>
                <w:highlight w:val="none"/>
                <w:vertAlign w:val="baseline"/>
                <w:lang w:val="en-US" w:eastAsia="zh-CN"/>
              </w:rPr>
              <w:t>...</w:t>
            </w:r>
          </w:p>
        </w:tc>
        <w:tc>
          <w:tcPr>
            <w:tcW w:w="3572"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eastAsia="zh-CN"/>
              </w:rPr>
            </w:pPr>
          </w:p>
        </w:tc>
        <w:tc>
          <w:tcPr>
            <w:tcW w:w="4486" w:type="dxa"/>
            <w:vAlign w:val="center"/>
          </w:tcPr>
          <w:p>
            <w:pPr>
              <w:keepNext w:val="0"/>
              <w:keepLines w:val="0"/>
              <w:pageBreakBefore w:val="0"/>
              <w:wordWrap/>
              <w:overflowPunct/>
              <w:topLinePunct w:val="0"/>
              <w:bidi w:val="0"/>
              <w:spacing w:before="278" w:line="400" w:lineRule="exact"/>
              <w:jc w:val="center"/>
              <w:rPr>
                <w:rFonts w:hint="eastAsia" w:ascii="宋体" w:hAnsi="宋体" w:eastAsia="宋体" w:cs="宋体"/>
                <w:color w:val="auto"/>
                <w:spacing w:val="-17"/>
                <w:sz w:val="29"/>
                <w:szCs w:val="29"/>
                <w:highlight w:val="none"/>
                <w:vertAlign w:val="baseline"/>
                <w:lang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590" w:lineRule="exact"/>
        <w:ind w:right="113"/>
        <w:jc w:val="center"/>
        <w:textAlignment w:val="baseline"/>
        <w:rPr>
          <w:rFonts w:hint="eastAsia" w:ascii="仿宋_GB2312" w:hAnsi="仿宋_GB2312" w:eastAsia="仿宋_GB2312" w:cs="仿宋_GB2312"/>
          <w:color w:val="auto"/>
          <w:spacing w:val="9"/>
          <w:sz w:val="30"/>
          <w:szCs w:val="30"/>
          <w:highlight w:val="none"/>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right="113"/>
        <w:jc w:val="center"/>
        <w:textAlignment w:val="baseline"/>
        <w:rPr>
          <w:rFonts w:hint="eastAsia" w:ascii="仿宋_GB2312" w:hAnsi="仿宋_GB2312" w:eastAsia="仿宋_GB2312" w:cs="仿宋_GB2312"/>
          <w:color w:val="auto"/>
          <w:spacing w:val="9"/>
          <w:sz w:val="30"/>
          <w:szCs w:val="30"/>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b w:val="0"/>
          <w:bCs w:val="0"/>
          <w:color w:val="auto"/>
          <w:kern w:val="2"/>
          <w:sz w:val="32"/>
          <w:szCs w:val="32"/>
          <w:highlight w:val="none"/>
          <w:lang w:val="en-US" w:eastAsia="zh-CN"/>
        </w:rPr>
      </w:pPr>
    </w:p>
    <w:p>
      <w:pPr>
        <w:spacing w:line="520" w:lineRule="exact"/>
        <w:ind w:firstLine="348" w:firstLineChars="100"/>
        <w:rPr>
          <w:rFonts w:hint="default" w:ascii="Times New Roman" w:hAnsi="Times New Roman" w:eastAsia="仿宋_GB2312" w:cs="宋体"/>
          <w:color w:val="auto"/>
          <w:spacing w:val="14"/>
          <w:sz w:val="32"/>
          <w:szCs w:val="23"/>
          <w:highlight w:val="none"/>
          <w:lang w:val="en-US" w:eastAsia="zh-CN"/>
        </w:rPr>
      </w:pPr>
    </w:p>
    <w:sectPr>
      <w:footerReference r:id="rId3"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2D66149C"/>
    <w:multiLevelType w:val="singleLevel"/>
    <w:tmpl w:val="2D66149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899"/>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MWM1YzhjNjQwMWU1ODgyMmI0OTFjMzBjNjdjNTMifQ=="/>
  </w:docVars>
  <w:rsids>
    <w:rsidRoot w:val="00000000"/>
    <w:rsid w:val="027D2A17"/>
    <w:rsid w:val="02D47E57"/>
    <w:rsid w:val="05424017"/>
    <w:rsid w:val="069B3401"/>
    <w:rsid w:val="06C15401"/>
    <w:rsid w:val="070F3A78"/>
    <w:rsid w:val="09E06A6F"/>
    <w:rsid w:val="0BC11F17"/>
    <w:rsid w:val="0C3228BB"/>
    <w:rsid w:val="0CC7C7EE"/>
    <w:rsid w:val="0D4528D3"/>
    <w:rsid w:val="0DB71412"/>
    <w:rsid w:val="0EFFDA9C"/>
    <w:rsid w:val="0F1F3CD2"/>
    <w:rsid w:val="0FF32D91"/>
    <w:rsid w:val="108A5424"/>
    <w:rsid w:val="11921652"/>
    <w:rsid w:val="12AE7D74"/>
    <w:rsid w:val="13075D70"/>
    <w:rsid w:val="13E6398B"/>
    <w:rsid w:val="155F4ADB"/>
    <w:rsid w:val="15D17191"/>
    <w:rsid w:val="17AF61A5"/>
    <w:rsid w:val="186D01C1"/>
    <w:rsid w:val="1AFF16AA"/>
    <w:rsid w:val="1BAD71F3"/>
    <w:rsid w:val="1C055C50"/>
    <w:rsid w:val="1C584099"/>
    <w:rsid w:val="1DA159C8"/>
    <w:rsid w:val="1F0B061A"/>
    <w:rsid w:val="2282730D"/>
    <w:rsid w:val="23000D90"/>
    <w:rsid w:val="23B41D9C"/>
    <w:rsid w:val="24CE08DF"/>
    <w:rsid w:val="295A2E6D"/>
    <w:rsid w:val="2A5F2D72"/>
    <w:rsid w:val="2AE07C1D"/>
    <w:rsid w:val="2B3E0477"/>
    <w:rsid w:val="2CBE64A8"/>
    <w:rsid w:val="2CD8307E"/>
    <w:rsid w:val="2D9B710C"/>
    <w:rsid w:val="2F3DEAC4"/>
    <w:rsid w:val="2F6F548D"/>
    <w:rsid w:val="2FF550EE"/>
    <w:rsid w:val="30A7776D"/>
    <w:rsid w:val="317D3B42"/>
    <w:rsid w:val="32717117"/>
    <w:rsid w:val="33F82F0B"/>
    <w:rsid w:val="33FD45A6"/>
    <w:rsid w:val="349550BE"/>
    <w:rsid w:val="35096E1A"/>
    <w:rsid w:val="35CF5BCB"/>
    <w:rsid w:val="365E73D4"/>
    <w:rsid w:val="36DC4E64"/>
    <w:rsid w:val="36EF1E3E"/>
    <w:rsid w:val="38E71E6E"/>
    <w:rsid w:val="3AD552A3"/>
    <w:rsid w:val="3BFF8D1A"/>
    <w:rsid w:val="3CE652FF"/>
    <w:rsid w:val="3E852F6F"/>
    <w:rsid w:val="3E9F9CF8"/>
    <w:rsid w:val="3ECE0202"/>
    <w:rsid w:val="3EDF0744"/>
    <w:rsid w:val="3EFC708B"/>
    <w:rsid w:val="3F3F0905"/>
    <w:rsid w:val="419B77A1"/>
    <w:rsid w:val="420E4572"/>
    <w:rsid w:val="42930CFB"/>
    <w:rsid w:val="430713BC"/>
    <w:rsid w:val="43A6C20F"/>
    <w:rsid w:val="442C6556"/>
    <w:rsid w:val="44695421"/>
    <w:rsid w:val="44DB6EB4"/>
    <w:rsid w:val="45656979"/>
    <w:rsid w:val="4642005F"/>
    <w:rsid w:val="47B66C71"/>
    <w:rsid w:val="47E45D46"/>
    <w:rsid w:val="4A4554E7"/>
    <w:rsid w:val="4B91544C"/>
    <w:rsid w:val="4C8206D7"/>
    <w:rsid w:val="4CE153EE"/>
    <w:rsid w:val="4FFAF1BE"/>
    <w:rsid w:val="500B6DB1"/>
    <w:rsid w:val="50B219C0"/>
    <w:rsid w:val="527122DF"/>
    <w:rsid w:val="535B780E"/>
    <w:rsid w:val="53E86B94"/>
    <w:rsid w:val="555B32AE"/>
    <w:rsid w:val="56EC367D"/>
    <w:rsid w:val="572408F7"/>
    <w:rsid w:val="583C15E0"/>
    <w:rsid w:val="587B4F59"/>
    <w:rsid w:val="5BE664B2"/>
    <w:rsid w:val="5BF54E88"/>
    <w:rsid w:val="5C7D4723"/>
    <w:rsid w:val="5CDE1355"/>
    <w:rsid w:val="5DA925DA"/>
    <w:rsid w:val="5EBF136F"/>
    <w:rsid w:val="5F913778"/>
    <w:rsid w:val="5FF71BCD"/>
    <w:rsid w:val="5FFFFC4D"/>
    <w:rsid w:val="608477D4"/>
    <w:rsid w:val="61AE4E8C"/>
    <w:rsid w:val="62247C1A"/>
    <w:rsid w:val="626A60E7"/>
    <w:rsid w:val="64844B89"/>
    <w:rsid w:val="64EC4BB5"/>
    <w:rsid w:val="64FEB4AD"/>
    <w:rsid w:val="651C3E42"/>
    <w:rsid w:val="677B054B"/>
    <w:rsid w:val="68DA0E9F"/>
    <w:rsid w:val="69194EE1"/>
    <w:rsid w:val="69E24A3F"/>
    <w:rsid w:val="6A292C42"/>
    <w:rsid w:val="6AFF90A3"/>
    <w:rsid w:val="6B695147"/>
    <w:rsid w:val="6DD7E23B"/>
    <w:rsid w:val="6DDF7C44"/>
    <w:rsid w:val="6DE8B52B"/>
    <w:rsid w:val="702179E3"/>
    <w:rsid w:val="70FF5319"/>
    <w:rsid w:val="71D37626"/>
    <w:rsid w:val="73311DD7"/>
    <w:rsid w:val="745D3B68"/>
    <w:rsid w:val="747235D0"/>
    <w:rsid w:val="75567784"/>
    <w:rsid w:val="764709C8"/>
    <w:rsid w:val="76535EEB"/>
    <w:rsid w:val="76A65309"/>
    <w:rsid w:val="76AA0F95"/>
    <w:rsid w:val="772B6F4D"/>
    <w:rsid w:val="77CF11F4"/>
    <w:rsid w:val="77DF8F5D"/>
    <w:rsid w:val="782C3FC8"/>
    <w:rsid w:val="78685A75"/>
    <w:rsid w:val="78A82C7F"/>
    <w:rsid w:val="7AA3764A"/>
    <w:rsid w:val="7AF7AC90"/>
    <w:rsid w:val="7AFF866F"/>
    <w:rsid w:val="7B1055B3"/>
    <w:rsid w:val="7B78752D"/>
    <w:rsid w:val="7C272BDF"/>
    <w:rsid w:val="7D5098AC"/>
    <w:rsid w:val="7E2455DD"/>
    <w:rsid w:val="7E6F7D3E"/>
    <w:rsid w:val="7E7EFF5D"/>
    <w:rsid w:val="8BFF5D9D"/>
    <w:rsid w:val="9F7FFF45"/>
    <w:rsid w:val="A2CFACD8"/>
    <w:rsid w:val="B73F29AA"/>
    <w:rsid w:val="C35FD904"/>
    <w:rsid w:val="C9AF117E"/>
    <w:rsid w:val="CADFF709"/>
    <w:rsid w:val="CFDD5785"/>
    <w:rsid w:val="D5B6F52A"/>
    <w:rsid w:val="DB558193"/>
    <w:rsid w:val="DBCF83AD"/>
    <w:rsid w:val="DEFC8E39"/>
    <w:rsid w:val="DFD76CC3"/>
    <w:rsid w:val="E4FF639D"/>
    <w:rsid w:val="E5D562F1"/>
    <w:rsid w:val="E6AF477D"/>
    <w:rsid w:val="E7EF8F2A"/>
    <w:rsid w:val="EBF7471F"/>
    <w:rsid w:val="ED594966"/>
    <w:rsid w:val="ED791ECF"/>
    <w:rsid w:val="EDDF6F8F"/>
    <w:rsid w:val="EFAC5D6C"/>
    <w:rsid w:val="F2F4E419"/>
    <w:rsid w:val="F3C7808F"/>
    <w:rsid w:val="F7761EE8"/>
    <w:rsid w:val="F7F4CFA0"/>
    <w:rsid w:val="F9FFF75C"/>
    <w:rsid w:val="FB99D369"/>
    <w:rsid w:val="FBCFD37D"/>
    <w:rsid w:val="FDB78104"/>
    <w:rsid w:val="FE7F5F5C"/>
    <w:rsid w:val="FEEE15A5"/>
    <w:rsid w:val="FF9912B5"/>
    <w:rsid w:val="FFBB943D"/>
    <w:rsid w:val="FFC69A02"/>
    <w:rsid w:val="FFCDB74A"/>
    <w:rsid w:val="FFF7D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vertAlign w:val="superscript"/>
    </w:rPr>
  </w:style>
  <w:style w:type="paragraph" w:customStyle="1" w:styleId="13">
    <w:name w:val="Heading1"/>
    <w:basedOn w:val="1"/>
    <w:next w:val="1"/>
    <w:qFormat/>
    <w:uiPriority w:val="0"/>
    <w:pPr>
      <w:keepNext/>
      <w:keepLines/>
      <w:spacing w:before="340" w:after="330" w:line="576" w:lineRule="auto"/>
      <w:textAlignment w:val="baseline"/>
    </w:pPr>
    <w:rPr>
      <w:rFonts w:ascii="Calibri" w:hAnsi="Calibri" w:eastAsia="宋体" w:cs="Times New Roman"/>
      <w:b/>
      <w:bCs/>
      <w:kern w:val="44"/>
      <w:sz w:val="44"/>
      <w:szCs w:val="44"/>
    </w:rPr>
  </w:style>
  <w:style w:type="character" w:customStyle="1" w:styleId="14">
    <w:name w:val="font21"/>
    <w:basedOn w:val="11"/>
    <w:qFormat/>
    <w:uiPriority w:val="0"/>
    <w:rPr>
      <w:rFonts w:ascii="宋体" w:hAnsi="宋体" w:eastAsia="宋体" w:cs="宋体"/>
      <w:color w:val="000000"/>
      <w:sz w:val="16"/>
      <w:szCs w:val="16"/>
      <w:u w:val="non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数字编号列项（二级）"/>
    <w:qFormat/>
    <w:uiPriority w:val="0"/>
    <w:pPr>
      <w:numPr>
        <w:ilvl w:val="1"/>
        <w:numId w:val="1"/>
      </w:numPr>
      <w:tabs>
        <w:tab w:val="left" w:pos="840"/>
      </w:tabs>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5634</Words>
  <Characters>5792</Characters>
  <Lines>0</Lines>
  <Paragraphs>0</Paragraphs>
  <TotalTime>32</TotalTime>
  <ScaleCrop>false</ScaleCrop>
  <LinksUpToDate>false</LinksUpToDate>
  <CharactersWithSpaces>6112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2023-06-13T09:17:00Z</dcterms:created>
  <dc:creator>lenovo</dc:creator>
  <cp:lastModifiedBy>cdf</cp:lastModifiedBy>
  <cp:lastPrinted>2025-10-23T16:19:00Z</cp:lastPrinted>
  <dcterms:modified xsi:type="dcterms:W3CDTF">2025-10-24T16:32:49Z</dcterms:modified>
  <dc:title>河环〔2023〕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70EB072F84E7E263ABADD368D2ABE531</vt:lpwstr>
  </property>
  <property fmtid="{D5CDD505-2E9C-101B-9397-08002B2CF9AE}" pid="4" name="KSOTemplateDocerSaveRecord">
    <vt:lpwstr>eyJoZGlkIjoiMWU2NGUzYzZiNjU4YzRkNTZhM2ZkMDRiMWFjMmIwODAiLCJ1c2VySWQiOiI2MzI3NjE0OTAifQ==</vt:lpwstr>
  </property>
</Properties>
</file>