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80" w:lineRule="exact"/>
        <w:jc w:val="both"/>
        <w:textAlignment w:val="auto"/>
        <w:rPr>
          <w:rFonts w:hint="eastAsia" w:ascii="仿宋_GB2312" w:hAnsi="仿宋_GB2312" w:eastAsia="仿宋_GB2312" w:cs="仿宋_GB2312"/>
          <w:bCs/>
          <w:spacing w:val="-20"/>
          <w:sz w:val="32"/>
          <w:szCs w:val="32"/>
          <w:lang w:val="en-US" w:eastAsia="zh-CN"/>
        </w:rPr>
      </w:pPr>
      <w:r>
        <w:rPr>
          <w:rFonts w:hint="eastAsia" w:ascii="仿宋_GB2312" w:hAnsi="仿宋_GB2312" w:eastAsia="仿宋_GB2312" w:cs="仿宋_GB2312"/>
          <w:bCs/>
          <w:spacing w:val="-20"/>
          <w:sz w:val="32"/>
          <w:szCs w:val="32"/>
          <w:lang w:val="en-US" w:eastAsia="zh-CN"/>
        </w:rPr>
        <w:t>附件14</w:t>
      </w:r>
      <w:bookmarkStart w:id="0" w:name="_GoBack"/>
      <w:bookmarkEnd w:id="0"/>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val="en-US" w:eastAsia="zh-CN"/>
        </w:rPr>
      </w:pPr>
      <w:r>
        <w:rPr>
          <w:rFonts w:hint="eastAsia" w:ascii="Times New Roman" w:hAnsi="Times New Roman" w:eastAsia="方正小标宋简体" w:cs="方正小标宋简体"/>
          <w:bCs/>
          <w:spacing w:val="-20"/>
          <w:sz w:val="44"/>
          <w:szCs w:val="44"/>
          <w:lang w:val="en-US" w:eastAsia="zh-CN"/>
        </w:rPr>
        <w:t>户用风冷冷水（热泵）机组产品质量监督抽查</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val="en-US" w:eastAsia="zh-CN"/>
        </w:rPr>
      </w:pPr>
      <w:r>
        <w:rPr>
          <w:rFonts w:hint="eastAsia" w:ascii="Times New Roman" w:hAnsi="Times New Roman" w:eastAsia="方正小标宋简体" w:cs="方正小标宋简体"/>
          <w:bCs/>
          <w:spacing w:val="-20"/>
          <w:sz w:val="44"/>
          <w:szCs w:val="44"/>
          <w:lang w:val="en-US" w:eastAsia="zh-CN"/>
        </w:rPr>
        <w:t>实施细则（</w:t>
      </w:r>
      <w:r>
        <w:rPr>
          <w:rFonts w:hint="eastAsia" w:ascii="方正小标宋简体" w:hAnsi="方正小标宋简体" w:eastAsia="方正小标宋简体" w:cs="方正小标宋简体"/>
          <w:b w:val="0"/>
          <w:bCs/>
          <w:color w:val="auto"/>
          <w:sz w:val="44"/>
          <w:szCs w:val="44"/>
        </w:rPr>
        <w:t>2025</w:t>
      </w:r>
      <w:r>
        <w:rPr>
          <w:rFonts w:hint="eastAsia" w:ascii="Times New Roman" w:hAnsi="Times New Roman" w:eastAsia="方正小标宋简体" w:cs="方正小标宋简体"/>
          <w:bCs/>
          <w:spacing w:val="-20"/>
          <w:sz w:val="44"/>
          <w:szCs w:val="44"/>
          <w:lang w:val="en-US" w:eastAsia="zh-CN"/>
        </w:rPr>
        <w:t>版）</w:t>
      </w:r>
    </w:p>
    <w:p>
      <w:pPr>
        <w:keepNext w:val="0"/>
        <w:keepLines w:val="0"/>
        <w:pageBreakBefore w:val="0"/>
        <w:kinsoku/>
        <w:wordWrap/>
        <w:overflowPunct/>
        <w:topLinePunct w:val="0"/>
        <w:autoSpaceDE/>
        <w:autoSpaceDN/>
        <w:bidi w:val="0"/>
        <w:adjustRightInd/>
        <w:snapToGrid w:val="0"/>
        <w:spacing w:line="6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 抽样方法</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以随机抽样的方式在被抽查市场主体的待销产品中抽取。</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抽查数量：每款产品抽取2组样本，第1组用于检验，第2组用于备样，封存在被抽查单位。具体抽样数量如下：</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6"/>
        <w:gridCol w:w="198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5" w:type="dxa"/>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b/>
                <w:bCs/>
                <w:sz w:val="24"/>
              </w:rPr>
            </w:pPr>
            <w:r>
              <w:rPr>
                <w:rFonts w:hint="eastAsia" w:ascii="宋体" w:hAnsi="宋体" w:eastAsia="宋体" w:cs="宋体"/>
                <w:b/>
                <w:bCs/>
                <w:sz w:val="24"/>
              </w:rPr>
              <w:t>序号</w:t>
            </w:r>
          </w:p>
        </w:tc>
        <w:tc>
          <w:tcPr>
            <w:tcW w:w="3516"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b/>
                <w:bCs/>
                <w:sz w:val="24"/>
              </w:rPr>
            </w:pPr>
            <w:r>
              <w:rPr>
                <w:rFonts w:hint="eastAsia" w:ascii="宋体" w:hAnsi="宋体" w:eastAsia="宋体" w:cs="宋体"/>
                <w:b/>
                <w:bCs/>
                <w:sz w:val="24"/>
              </w:rPr>
              <w:t>被抽查的产品品种</w:t>
            </w:r>
          </w:p>
        </w:tc>
        <w:tc>
          <w:tcPr>
            <w:tcW w:w="1980"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b/>
                <w:bCs/>
                <w:sz w:val="24"/>
              </w:rPr>
            </w:pPr>
            <w:r>
              <w:rPr>
                <w:rFonts w:hint="eastAsia" w:ascii="宋体" w:hAnsi="宋体" w:eastAsia="宋体" w:cs="宋体"/>
                <w:b/>
                <w:bCs/>
                <w:kern w:val="0"/>
                <w:sz w:val="24"/>
              </w:rPr>
              <w:t>第1组数量</w:t>
            </w:r>
            <w:r>
              <w:rPr>
                <w:rFonts w:hint="eastAsia" w:ascii="宋体" w:hAnsi="宋体" w:eastAsia="宋体" w:cs="宋体"/>
                <w:b/>
                <w:bCs/>
                <w:sz w:val="24"/>
              </w:rPr>
              <w:t>（款）</w:t>
            </w:r>
          </w:p>
        </w:tc>
        <w:tc>
          <w:tcPr>
            <w:tcW w:w="1971"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b/>
                <w:bCs/>
                <w:sz w:val="24"/>
              </w:rPr>
            </w:pPr>
            <w:r>
              <w:rPr>
                <w:rFonts w:hint="eastAsia" w:ascii="宋体" w:hAnsi="宋体" w:eastAsia="宋体" w:cs="宋体"/>
                <w:b/>
                <w:bCs/>
                <w:kern w:val="0"/>
                <w:sz w:val="24"/>
              </w:rPr>
              <w:t>第2组数量</w:t>
            </w:r>
            <w:r>
              <w:rPr>
                <w:rFonts w:hint="eastAsia" w:ascii="宋体" w:hAnsi="宋体" w:eastAsia="宋体" w:cs="宋体"/>
                <w:b/>
                <w:bCs/>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735"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000000"/>
                <w:sz w:val="24"/>
              </w:rPr>
            </w:pPr>
            <w:r>
              <w:rPr>
                <w:rFonts w:hint="eastAsia" w:ascii="宋体" w:hAnsi="宋体" w:eastAsia="宋体" w:cs="宋体"/>
                <w:color w:val="000000"/>
                <w:sz w:val="24"/>
              </w:rPr>
              <w:t>1</w:t>
            </w:r>
          </w:p>
        </w:tc>
        <w:tc>
          <w:tcPr>
            <w:tcW w:w="3516"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000000"/>
                <w:sz w:val="24"/>
              </w:rPr>
            </w:pPr>
            <w:r>
              <w:rPr>
                <w:rFonts w:hint="eastAsia" w:ascii="宋体" w:hAnsi="宋体" w:eastAsia="宋体" w:cs="宋体"/>
                <w:sz w:val="24"/>
              </w:rPr>
              <w:t>户用风冷冷水（热泵）机组</w:t>
            </w:r>
          </w:p>
        </w:tc>
        <w:tc>
          <w:tcPr>
            <w:tcW w:w="1980"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000000"/>
                <w:sz w:val="24"/>
              </w:rPr>
            </w:pPr>
            <w:r>
              <w:rPr>
                <w:rFonts w:hint="eastAsia" w:ascii="宋体" w:hAnsi="宋体" w:eastAsia="宋体" w:cs="宋体"/>
                <w:color w:val="000000"/>
                <w:sz w:val="24"/>
              </w:rPr>
              <w:t>1台</w:t>
            </w:r>
          </w:p>
        </w:tc>
        <w:tc>
          <w:tcPr>
            <w:tcW w:w="1971"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000000"/>
                <w:sz w:val="24"/>
              </w:rPr>
            </w:pPr>
            <w:r>
              <w:rPr>
                <w:rFonts w:hint="eastAsia" w:ascii="宋体" w:hAnsi="宋体" w:eastAsia="宋体" w:cs="宋体"/>
                <w:color w:val="000000"/>
                <w:sz w:val="24"/>
              </w:rPr>
              <w:t>1台</w:t>
            </w:r>
          </w:p>
        </w:tc>
      </w:tr>
    </w:tbl>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lang w:eastAsia="zh-CN"/>
        </w:rPr>
        <w:t>检验依据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059"/>
        <w:gridCol w:w="5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序号</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检验项目</w:t>
            </w:r>
          </w:p>
        </w:tc>
        <w:tc>
          <w:tcPr>
            <w:tcW w:w="5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标志和说明</w:t>
            </w:r>
          </w:p>
        </w:tc>
        <w:tc>
          <w:tcPr>
            <w:tcW w:w="537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sz w:val="24"/>
              </w:rPr>
            </w:pPr>
            <w:r>
              <w:rPr>
                <w:rFonts w:hint="eastAsia" w:ascii="宋体" w:hAnsi="宋体" w:eastAsia="宋体" w:cs="宋体"/>
                <w:sz w:val="24"/>
              </w:rPr>
              <w:t>GB 4706.1-2005</w:t>
            </w:r>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sz w:val="24"/>
              </w:rPr>
            </w:pPr>
            <w:r>
              <w:rPr>
                <w:rFonts w:hint="eastAsia" w:ascii="宋体" w:hAnsi="宋体" w:eastAsia="宋体" w:cs="宋体"/>
                <w:sz w:val="24"/>
              </w:rPr>
              <w:t>GB 4706.12-2006</w:t>
            </w: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2</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对触及带电部件的防护</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3</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输入功率和电流</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4</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发热</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5</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工作温度下的泄漏电流和电气强度</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6</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耐潮湿</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7</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泄漏电流和电气强度</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8</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稳定性和机械危险</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结构</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0</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内部布线</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1</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电源连接及外部软线</w:t>
            </w:r>
          </w:p>
        </w:tc>
        <w:tc>
          <w:tcPr>
            <w:tcW w:w="5378"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sz w:val="24"/>
              </w:rPr>
            </w:pPr>
            <w:r>
              <w:rPr>
                <w:rFonts w:hint="eastAsia" w:ascii="宋体" w:hAnsi="宋体" w:eastAsia="宋体" w:cs="宋体"/>
                <w:sz w:val="24"/>
              </w:rPr>
              <w:t>GB 4706.1-2005</w:t>
            </w:r>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sz w:val="24"/>
              </w:rPr>
            </w:pPr>
            <w:r>
              <w:rPr>
                <w:rFonts w:hint="eastAsia" w:ascii="宋体" w:hAnsi="宋体" w:eastAsia="宋体" w:cs="宋体"/>
                <w:sz w:val="24"/>
              </w:rPr>
              <w:t>GB 4706.12-2006</w:t>
            </w: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2</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外部导线用接线端子</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接地措施</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螺钉和连接</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5</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电气间隙、爬电距离和固体绝缘</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6</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性能系数</w:t>
            </w:r>
          </w:p>
        </w:tc>
        <w:tc>
          <w:tcPr>
            <w:tcW w:w="5378"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default" w:ascii="宋体" w:hAnsi="宋体" w:eastAsia="宋体" w:cs="宋体"/>
                <w:sz w:val="24"/>
                <w:lang w:val="en-US" w:eastAsia="zh-CN"/>
              </w:rPr>
            </w:pPr>
            <w:r>
              <w:rPr>
                <w:rFonts w:hint="eastAsia" w:ascii="宋体" w:hAnsi="宋体" w:eastAsia="宋体" w:cs="宋体"/>
                <w:sz w:val="24"/>
              </w:rPr>
              <w:t>GB/T 18430.1-20</w:t>
            </w:r>
            <w:r>
              <w:rPr>
                <w:rFonts w:hint="eastAsia" w:ascii="宋体" w:hAnsi="宋体" w:eastAsia="宋体" w:cs="宋体"/>
                <w:sz w:val="24"/>
                <w:lang w:val="en-US" w:eastAsia="zh-CN"/>
              </w:rPr>
              <w:t>24</w:t>
            </w:r>
          </w:p>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rPr>
            </w:pPr>
            <w:r>
              <w:rPr>
                <w:rFonts w:hint="eastAsia" w:ascii="宋体" w:hAnsi="宋体" w:eastAsia="宋体" w:cs="宋体"/>
                <w:sz w:val="24"/>
              </w:rPr>
              <w:t>GB/T 18430.2-2016</w:t>
            </w:r>
          </w:p>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rPr>
            </w:pPr>
            <w:r>
              <w:rPr>
                <w:rFonts w:hint="eastAsia" w:ascii="宋体" w:hAnsi="宋体" w:eastAsia="宋体" w:cs="宋体"/>
                <w:sz w:val="24"/>
              </w:rPr>
              <w:t>GB/T 25127.1-2020</w:t>
            </w:r>
          </w:p>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rPr>
            </w:pPr>
            <w:r>
              <w:rPr>
                <w:rFonts w:hint="eastAsia" w:ascii="宋体" w:hAnsi="宋体" w:eastAsia="宋体" w:cs="宋体"/>
                <w:sz w:val="24"/>
              </w:rPr>
              <w:t>GB/T 25127.2-2020</w:t>
            </w:r>
          </w:p>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GB 19577-20</w:t>
            </w:r>
            <w:r>
              <w:rPr>
                <w:rFonts w:hint="eastAsia" w:ascii="宋体" w:hAnsi="宋体" w:eastAsia="宋体" w:cs="宋体"/>
                <w:sz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7</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制热量</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8</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制热消耗功率</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19</w:t>
            </w:r>
          </w:p>
        </w:tc>
        <w:tc>
          <w:tcPr>
            <w:tcW w:w="2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能效限定值</w:t>
            </w:r>
          </w:p>
        </w:tc>
        <w:tc>
          <w:tcPr>
            <w:tcW w:w="53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bl>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凡是注日期的文件，其随后所有的修改单（不包括勘误的内容）或修订版</w:t>
      </w:r>
      <w:r>
        <w:rPr>
          <w:rFonts w:hint="eastAsia" w:ascii="仿宋_GB2312" w:hAnsi="仿宋_GB2312" w:cs="仿宋_GB2312"/>
          <w:sz w:val="32"/>
          <w:szCs w:val="32"/>
          <w:lang w:eastAsia="zh-CN"/>
        </w:rPr>
        <w:t>均</w:t>
      </w:r>
      <w:r>
        <w:rPr>
          <w:rFonts w:hint="eastAsia" w:ascii="仿宋_GB2312" w:hAnsi="仿宋_GB2312" w:eastAsia="仿宋_GB2312" w:cs="仿宋_GB2312"/>
          <w:sz w:val="32"/>
          <w:szCs w:val="32"/>
        </w:rPr>
        <w:t>不适用于本细则。凡是不注日期的文件，其最新版本适用于本细则。</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判定规则</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依据标准</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4706.1-2005《家用和类似用途电器的安全 第</w:t>
      </w:r>
      <w:r>
        <w:rPr>
          <w:rFonts w:hint="eastAsia" w:ascii="仿宋_GB2312" w:hAnsi="仿宋_GB2312" w:cs="仿宋_GB2312"/>
          <w:kern w:val="0"/>
          <w:sz w:val="32"/>
          <w:szCs w:val="32"/>
          <w:lang w:val="en-US" w:eastAsia="zh-CN"/>
        </w:rPr>
        <w:t>1</w:t>
      </w:r>
      <w:r>
        <w:rPr>
          <w:rFonts w:hint="eastAsia" w:ascii="仿宋_GB2312" w:hAnsi="仿宋_GB2312" w:eastAsia="仿宋_GB2312" w:cs="仿宋_GB2312"/>
          <w:kern w:val="0"/>
          <w:sz w:val="32"/>
          <w:szCs w:val="32"/>
        </w:rPr>
        <w:t>部分：通用要求》</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4706.12-2006《家用和类似用途电器的安全储水式热水器的特殊要求》</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4706.32-2012《家用和类似用途电器的安全热泵、空调器和除湿机的特殊要求》</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18430.1-20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《蒸气压缩循环冷水(热泵)机组 第1部分</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工业或商业用及类似用途的冷水(热泵)机组》</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18430.2-2016《蒸气压缩循环冷水(热泵)机组 第2部分</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户用及类似用途的冷水（热泵）机组》</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25127.1-2020《低环境温度空气源热泵（冷水）机组 第1部分：工业或商业用及类似用途的热泵（冷水）机组》</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25127.2-2020《低环境温度空气源热泵（冷水）机组 第2部分：户用及类似用途的热泵（冷水）机组》</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19577-20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 xml:space="preserve"> 《</w:t>
      </w:r>
      <w:r>
        <w:rPr>
          <w:rFonts w:hint="eastAsia" w:ascii="仿宋_GB2312" w:hAnsi="仿宋_GB2312" w:cs="仿宋_GB2312"/>
          <w:kern w:val="0"/>
          <w:sz w:val="32"/>
          <w:szCs w:val="32"/>
          <w:lang w:eastAsia="zh-CN"/>
        </w:rPr>
        <w:t>热泵和</w:t>
      </w:r>
      <w:r>
        <w:rPr>
          <w:rFonts w:hint="eastAsia" w:ascii="仿宋_GB2312" w:hAnsi="仿宋_GB2312" w:eastAsia="仿宋_GB2312" w:cs="仿宋_GB2312"/>
          <w:kern w:val="0"/>
          <w:sz w:val="32"/>
          <w:szCs w:val="32"/>
        </w:rPr>
        <w:t>冷水机组能效限定值及能效等级》</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现行有效的企业标准、团体标准、地方标准及产品明示质量要求。</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rPr>
        <w:t>判定原则</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若被检产品明示的质量要求高于本细则中检验项目依据的标准要求时，应按被检产品明示的质量要求判定。</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若被检产品明示的质量要求低于本细则中检验项目依据的强制性标准要求时，应按照强制性标准要求判定。</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若被检产品明示的质量要求低于或包含本细则中检验项目依据的推荐性标准要求时，应以被检产品明示的质量要求判定。</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若被检产品明示的质量要求缺少本细则中检验项目依据的强制性标准要求时，应按照强制性标准要求判定。</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若被检产品明示的质量要求缺少本细则中检验项目依据的推荐性标准要求时，该项目不参与判定。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NjU4MDcyMDVmMTlhMTNkN2UzOGFjZWNiZjIwYWQifQ=="/>
  </w:docVars>
  <w:rsids>
    <w:rsidRoot w:val="00FA122C"/>
    <w:rsid w:val="0004303F"/>
    <w:rsid w:val="00092474"/>
    <w:rsid w:val="000B4A16"/>
    <w:rsid w:val="000C4591"/>
    <w:rsid w:val="000C6306"/>
    <w:rsid w:val="000F4077"/>
    <w:rsid w:val="001D251C"/>
    <w:rsid w:val="00207071"/>
    <w:rsid w:val="00381DA8"/>
    <w:rsid w:val="003B6A09"/>
    <w:rsid w:val="004017B7"/>
    <w:rsid w:val="00401CC3"/>
    <w:rsid w:val="00497A65"/>
    <w:rsid w:val="00566B6A"/>
    <w:rsid w:val="00677471"/>
    <w:rsid w:val="00827D8A"/>
    <w:rsid w:val="0084223E"/>
    <w:rsid w:val="00A11EB0"/>
    <w:rsid w:val="00A74189"/>
    <w:rsid w:val="00AD2B54"/>
    <w:rsid w:val="00C23921"/>
    <w:rsid w:val="00C524DD"/>
    <w:rsid w:val="00C9616C"/>
    <w:rsid w:val="00CC2AE2"/>
    <w:rsid w:val="00D27301"/>
    <w:rsid w:val="00DC1206"/>
    <w:rsid w:val="00DF64CE"/>
    <w:rsid w:val="00EA3AF9"/>
    <w:rsid w:val="00F62C31"/>
    <w:rsid w:val="00F81F07"/>
    <w:rsid w:val="00FA122C"/>
    <w:rsid w:val="00FB07AA"/>
    <w:rsid w:val="01537940"/>
    <w:rsid w:val="021358C1"/>
    <w:rsid w:val="08731931"/>
    <w:rsid w:val="107D6CF0"/>
    <w:rsid w:val="186B2B9A"/>
    <w:rsid w:val="282C019E"/>
    <w:rsid w:val="2A9E50B3"/>
    <w:rsid w:val="2AFD2C53"/>
    <w:rsid w:val="2C3B186E"/>
    <w:rsid w:val="2C7F4919"/>
    <w:rsid w:val="33D7CF6F"/>
    <w:rsid w:val="36B41B6D"/>
    <w:rsid w:val="36C02C25"/>
    <w:rsid w:val="38A256E7"/>
    <w:rsid w:val="3BBF226C"/>
    <w:rsid w:val="3C315A4B"/>
    <w:rsid w:val="3D4E0B08"/>
    <w:rsid w:val="3EDA1C30"/>
    <w:rsid w:val="404C097D"/>
    <w:rsid w:val="46B303F3"/>
    <w:rsid w:val="49A07880"/>
    <w:rsid w:val="4ADC62C2"/>
    <w:rsid w:val="562F2BA3"/>
    <w:rsid w:val="590233BD"/>
    <w:rsid w:val="5F673CE5"/>
    <w:rsid w:val="61A70AD2"/>
    <w:rsid w:val="6A9C0E67"/>
    <w:rsid w:val="6EEE5A3B"/>
    <w:rsid w:val="70792B5B"/>
    <w:rsid w:val="743B4A92"/>
    <w:rsid w:val="7906664A"/>
    <w:rsid w:val="795A30B7"/>
    <w:rsid w:val="7B6315DB"/>
    <w:rsid w:val="7E394085"/>
    <w:rsid w:val="9D7EE4CF"/>
    <w:rsid w:val="B6DFA817"/>
    <w:rsid w:val="DBFFF38A"/>
    <w:rsid w:val="F7F70AD1"/>
    <w:rsid w:val="FD7E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1090</Words>
  <Characters>1378</Characters>
  <Lines>11</Lines>
  <Paragraphs>3</Paragraphs>
  <TotalTime>14</TotalTime>
  <ScaleCrop>false</ScaleCrop>
  <LinksUpToDate>false</LinksUpToDate>
  <CharactersWithSpaces>1412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2020-07-24T01:55:00Z</dcterms:created>
  <dc:creator>zyw</dc:creator>
  <cp:lastModifiedBy>dxkj</cp:lastModifiedBy>
  <cp:lastPrinted>2025-05-06T10:24:53Z</cp:lastPrinted>
  <dcterms:modified xsi:type="dcterms:W3CDTF">2025-05-06T10:38:51Z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A1B7B60EF97D4A3E8FD4A0327FA09A93_13</vt:lpwstr>
  </property>
  <property fmtid="{D5CDD505-2E9C-101B-9397-08002B2CF9AE}" pid="4" name="KSOTemplateDocerSaveRecord">
    <vt:lpwstr>eyJoZGlkIjoiZGVmMmI2ZTEyY2ZkZmFiYzBhYjA4YmZlZTgxMmZjMWMifQ==</vt:lpwstr>
  </property>
</Properties>
</file>