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jc w:val="center"/>
        <w:textAlignment w:val="auto"/>
        <w:rPr>
          <w:rFonts w:hint="eastAsia" w:ascii="方正小标宋简体" w:hAnsi="方正小标宋简体" w:eastAsia="方正小标宋简体" w:cs="方正小标宋简体"/>
          <w:b w:val="0"/>
          <w:bCs/>
          <w:spacing w:val="-16"/>
          <w:sz w:val="44"/>
          <w:szCs w:val="44"/>
          <w:lang w:eastAsia="zh-CN"/>
        </w:rPr>
      </w:pPr>
      <w:r>
        <w:rPr>
          <w:rFonts w:hint="eastAsia" w:ascii="方正小标宋简体" w:hAnsi="方正小标宋简体" w:eastAsia="方正小标宋简体" w:cs="方正小标宋简体"/>
          <w:b w:val="0"/>
          <w:bCs/>
          <w:spacing w:val="-16"/>
          <w:sz w:val="44"/>
          <w:szCs w:val="44"/>
          <w:lang w:eastAsia="zh-CN"/>
        </w:rPr>
        <w:t>化肥</w:t>
      </w:r>
      <w:r>
        <w:rPr>
          <w:rFonts w:hint="eastAsia" w:ascii="方正小标宋简体" w:hAnsi="方正小标宋简体" w:eastAsia="方正小标宋简体" w:cs="方正小标宋简体"/>
          <w:b w:val="0"/>
          <w:bCs/>
          <w:spacing w:val="-16"/>
          <w:sz w:val="44"/>
          <w:szCs w:val="44"/>
        </w:rPr>
        <w:t>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以随机抽样的方式在被</w:t>
      </w:r>
      <w:r>
        <w:rPr>
          <w:rFonts w:hint="eastAsia" w:ascii="仿宋_GB2312" w:hAnsi="仿宋_GB2312" w:eastAsia="仿宋_GB2312" w:cs="仿宋_GB2312"/>
          <w:sz w:val="32"/>
          <w:szCs w:val="32"/>
          <w:lang w:eastAsia="zh-CN"/>
        </w:rPr>
        <w:t>抽查市场主体</w:t>
      </w:r>
      <w:r>
        <w:rPr>
          <w:rFonts w:hint="eastAsia" w:ascii="仿宋_GB2312" w:hAnsi="仿宋_GB2312" w:eastAsia="仿宋_GB2312" w:cs="仿宋_GB2312"/>
          <w:sz w:val="32"/>
          <w:szCs w:val="32"/>
        </w:rPr>
        <w:t>的待销产品中抽取。</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抽查数量：每款产品抽取2组样本，第1组用于检验，第2组用于备样。具体抽样数量和方法如下：</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1.固态</w:t>
      </w:r>
      <w:r>
        <w:rPr>
          <w:rFonts w:hint="eastAsia" w:ascii="仿宋_GB2312" w:hAnsi="仿宋_GB2312" w:eastAsia="仿宋_GB2312" w:cs="仿宋_GB2312"/>
          <w:sz w:val="32"/>
          <w:szCs w:val="32"/>
          <w:lang w:eastAsia="zh-CN"/>
        </w:rPr>
        <w:t>化肥</w:t>
      </w:r>
      <w:r>
        <w:rPr>
          <w:rFonts w:hint="eastAsia" w:ascii="仿宋_GB2312" w:hAnsi="仿宋_GB2312" w:eastAsia="仿宋_GB2312" w:cs="仿宋_GB2312"/>
          <w:sz w:val="32"/>
          <w:szCs w:val="32"/>
        </w:rPr>
        <w:t>：</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a.每次抽查确定3个独立包装的肥料作为一个抽样单元，从单个包装抽取样本时应按相关产品标准中规定的抽样方法进行抽样。</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b.掺混肥料抽取的总样本量不得少于4kg，其余商品抽取的总样本量不得少于3kg。</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样本的缩分：将份样混合在一起构成集样，将集样迅速混合均匀，用缩分器或四分法缩分至约1000g，平均分为2份，装于洁净、干燥的具有磨口塞的广口瓶或带内盖的塑料瓶中。</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2.液态</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肥：</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肥商品应尽量整包装抽取，避免分装。随机抽取2个独立包装，单个包装体积不少于500ml；若单个包装体积低于500ml时，则抽取多个独立包装，分成2份，且每份不少于500ml。</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封样要求：抽取的样品应当场封样，由抽样单位抽样人员、被抽样市场主体签字确认，每款产品的2组样品分别封样，抽样机构应采取防拆封措施。样品全部带回</w:t>
      </w:r>
      <w:r>
        <w:rPr>
          <w:rFonts w:hint="eastAsia" w:ascii="仿宋_GB2312" w:hAnsi="仿宋_GB2312" w:eastAsia="仿宋_GB2312" w:cs="仿宋_GB2312"/>
          <w:sz w:val="32"/>
          <w:szCs w:val="32"/>
          <w:lang w:eastAsia="zh-CN"/>
        </w:rPr>
        <w:t>承检机构</w:t>
      </w:r>
      <w:r>
        <w:rPr>
          <w:rFonts w:hint="eastAsia" w:ascii="仿宋_GB2312" w:hAnsi="仿宋_GB2312" w:eastAsia="仿宋_GB2312" w:cs="仿宋_GB2312"/>
          <w:sz w:val="32"/>
          <w:szCs w:val="32"/>
        </w:rPr>
        <w:t>。</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p>
      <w:pPr>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复混肥料(复合肥料)</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051"/>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7"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8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15063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 8572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水溶性磷占有效磷百分率</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 15063</w:t>
            </w:r>
          </w:p>
        </w:tc>
      </w:tr>
    </w:tbl>
    <w:p>
      <w:pPr>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2.有机-无机复混肥料</w:t>
      </w:r>
    </w:p>
    <w:tbl>
      <w:tblPr>
        <w:tblStyle w:val="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949"/>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9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4"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砷及其化合物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镉及其化合物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铅及其化合物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铬及其化合物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汞及其化合物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bl>
    <w:p>
      <w:pPr>
        <w:spacing w:line="59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3.有机肥料内在质量检验项目及其重要性划分表。</w:t>
      </w:r>
    </w:p>
    <w:tbl>
      <w:tblPr>
        <w:tblStyle w:val="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02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9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总砷</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总汞</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总铅</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总镉</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总铬</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粪大肠菌群数</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蛔虫卵死亡率</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19524.2</w:t>
            </w:r>
          </w:p>
        </w:tc>
      </w:tr>
    </w:tbl>
    <w:p>
      <w:pPr>
        <w:spacing w:line="59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4.过磷酸钙</w:t>
      </w:r>
    </w:p>
    <w:tbl>
      <w:tblPr>
        <w:tblStyle w:val="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302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0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外观</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有效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含量</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游离酸</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bl>
    <w:p>
      <w:pPr>
        <w:spacing w:line="59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5.尿素</w:t>
      </w:r>
    </w:p>
    <w:tbl>
      <w:tblPr>
        <w:tblStyle w:val="5"/>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26"/>
        <w:gridCol w:w="4540"/>
      </w:tblGrid>
      <w:tr>
        <w:tblPrEx>
          <w:tblCellMar>
            <w:top w:w="0" w:type="dxa"/>
            <w:left w:w="108" w:type="dxa"/>
            <w:bottom w:w="0" w:type="dxa"/>
            <w:right w:w="108" w:type="dxa"/>
          </w:tblCellMar>
        </w:tblPrEx>
        <w:trPr>
          <w:cantSplit/>
          <w:trHeight w:val="658"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026" w:type="dxa"/>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总氮</w:t>
            </w:r>
          </w:p>
        </w:tc>
        <w:tc>
          <w:tcPr>
            <w:tcW w:w="4540" w:type="dxa"/>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2440－2001</w:t>
            </w:r>
          </w:p>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2440－2017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缩二脲的质量分数</w:t>
            </w:r>
          </w:p>
        </w:tc>
        <w:tc>
          <w:tcPr>
            <w:tcW w:w="4540" w:type="dxa"/>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noWrap w:val="0"/>
            <w:vAlign w:val="center"/>
          </w:tcPr>
          <w:p>
            <w:pPr>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亚甲基二脲的质量分数</w:t>
            </w:r>
          </w:p>
        </w:tc>
        <w:tc>
          <w:tcPr>
            <w:tcW w:w="4540" w:type="dxa"/>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GB/T2441.9</w:t>
            </w:r>
          </w:p>
        </w:tc>
      </w:tr>
    </w:tbl>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凡是注日期的文件，其随后所有的修改单（不包括勘误的内容）或修订版不适用于本细则。凡是不注日期的文件，其最新版本适用于本细则。</w:t>
      </w:r>
    </w:p>
    <w:p>
      <w:pPr>
        <w:snapToGrid w:val="0"/>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lang w:eastAsia="zh-CN"/>
        </w:rPr>
        <w:t>判定规则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eastAsia="zh-CN"/>
        </w:rPr>
        <w:t>依据标准</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15063-20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en-US" w:eastAsia="zh-CN"/>
        </w:rPr>
        <w:t>《复</w:t>
      </w:r>
      <w:r>
        <w:rPr>
          <w:rFonts w:hint="eastAsia" w:ascii="仿宋_GB2312" w:hAnsi="仿宋_GB2312" w:cs="仿宋_GB2312"/>
          <w:sz w:val="32"/>
          <w:szCs w:val="32"/>
          <w:lang w:val="en-US" w:eastAsia="zh-CN"/>
        </w:rPr>
        <w:t>合</w:t>
      </w:r>
      <w:r>
        <w:rPr>
          <w:rFonts w:hint="eastAsia" w:ascii="仿宋_GB2312" w:hAnsi="仿宋_GB2312" w:eastAsia="仿宋_GB2312" w:cs="仿宋_GB2312"/>
          <w:sz w:val="32"/>
          <w:szCs w:val="32"/>
          <w:lang w:val="en-US" w:eastAsia="zh-CN"/>
        </w:rPr>
        <w:t>肥料》</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18877-20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en-US" w:eastAsia="zh-CN"/>
        </w:rPr>
        <w:t>《有机-无机复混肥料》；</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NY/T</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525-20</w:t>
      </w:r>
      <w:r>
        <w:rPr>
          <w:rFonts w:hint="eastAsia" w:ascii="仿宋_GB2312" w:hAnsi="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lang w:val="en-US" w:eastAsia="zh-CN"/>
        </w:rPr>
        <w:t>《有机肥料》；</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20413-2017《过磷酸钙》；（适用于2018年7月1日后生产的产品）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2440-2001 《尿素》（适用于2018年7月1日前生产的产品）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GB/T 2440-2017 《尿素》（适用于2018年7月1日后生产的产品）</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现行有效的企业标准、团体标准、地方标准及产品明示质量要求。</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3.2 </w:t>
      </w:r>
      <w:r>
        <w:rPr>
          <w:rFonts w:hint="eastAsia" w:ascii="仿宋_GB2312" w:hAnsi="仿宋_GB2312" w:eastAsia="仿宋_GB2312" w:cs="仿宋_GB2312"/>
          <w:sz w:val="32"/>
          <w:szCs w:val="32"/>
        </w:rPr>
        <w:t>判定原则</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rPr>
      </w:pPr>
    </w:p>
    <w:p>
      <w:pPr>
        <w:spacing w:line="590" w:lineRule="exact"/>
        <w:ind w:firstLine="640" w:firstLineChars="200"/>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2A2299"/>
    <w:rsid w:val="08731931"/>
    <w:rsid w:val="134A556B"/>
    <w:rsid w:val="186B2B9A"/>
    <w:rsid w:val="1B3A04CA"/>
    <w:rsid w:val="1EAE5785"/>
    <w:rsid w:val="25302601"/>
    <w:rsid w:val="35DD5628"/>
    <w:rsid w:val="36B93DFC"/>
    <w:rsid w:val="388352AC"/>
    <w:rsid w:val="3C315A4B"/>
    <w:rsid w:val="3C447E39"/>
    <w:rsid w:val="430C1788"/>
    <w:rsid w:val="446B4FA9"/>
    <w:rsid w:val="46B303F3"/>
    <w:rsid w:val="52023D9E"/>
    <w:rsid w:val="562F2BA3"/>
    <w:rsid w:val="590233BD"/>
    <w:rsid w:val="64A6565C"/>
    <w:rsid w:val="6A9C0E67"/>
    <w:rsid w:val="6FBFD4CC"/>
    <w:rsid w:val="70F65756"/>
    <w:rsid w:val="734F3C82"/>
    <w:rsid w:val="7906664A"/>
    <w:rsid w:val="795813BD"/>
    <w:rsid w:val="7B6315DB"/>
    <w:rsid w:val="7CFE5473"/>
    <w:rsid w:val="7EDBA4C8"/>
    <w:rsid w:val="7FE37381"/>
    <w:rsid w:val="9955C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7"/>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ascii="Times New Roman" w:hAnsi="Times New Roman" w:eastAsia="仿宋_GB2312" w:cs="Times New Roman"/>
      <w:sz w:val="18"/>
      <w:szCs w:val="24"/>
    </w:rPr>
  </w:style>
  <w:style w:type="paragraph" w:customStyle="1" w:styleId="8">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autoRedefine/>
    <w:qFormat/>
    <w:uiPriority w:val="0"/>
    <w:pPr>
      <w:spacing w:before="50" w:after="50"/>
      <w:outlineLvl w:val="3"/>
    </w:pPr>
  </w:style>
  <w:style w:type="paragraph" w:customStyle="1" w:styleId="11">
    <w:name w:val="列出段落2"/>
    <w:basedOn w:val="1"/>
    <w:autoRedefine/>
    <w:unhideWhenUsed/>
    <w:qFormat/>
    <w:uiPriority w:val="99"/>
    <w:pPr>
      <w:ind w:firstLine="420" w:firstLineChars="200"/>
    </w:pPr>
    <w:rPr>
      <w:sz w:val="30"/>
    </w:rPr>
  </w:style>
  <w:style w:type="paragraph" w:customStyle="1" w:styleId="12">
    <w:name w:val="Table Paragraph"/>
    <w:basedOn w:val="1"/>
    <w:autoRedefine/>
    <w:qFormat/>
    <w:uiPriority w:val="0"/>
    <w:pPr>
      <w:jc w:val="left"/>
    </w:pPr>
    <w:rPr>
      <w:rFonts w:ascii="Calibri" w:hAnsi="Calibri"/>
      <w:kern w:val="0"/>
      <w:sz w:val="22"/>
      <w:szCs w:val="22"/>
      <w:lang w:eastAsia="en-US"/>
    </w:rPr>
  </w:style>
  <w:style w:type="character" w:customStyle="1" w:styleId="13">
    <w:name w:val="页眉 Char"/>
    <w:basedOn w:val="6"/>
    <w:link w:val="4"/>
    <w:autoRedefine/>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1712</Words>
  <Characters>2162</Characters>
  <Lines>23</Lines>
  <Paragraphs>6</Paragraphs>
  <TotalTime>2</TotalTime>
  <ScaleCrop>false</ScaleCrop>
  <LinksUpToDate>false</LinksUpToDate>
  <CharactersWithSpaces>2211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2020-07-23T01:55:00Z</dcterms:created>
  <dc:creator>zyw</dc:creator>
  <cp:lastModifiedBy>张显安-河源质计所</cp:lastModifiedBy>
  <cp:lastPrinted>2024-04-22T19:57:00Z</cp:lastPrinted>
  <dcterms:modified xsi:type="dcterms:W3CDTF">2024-04-25T02:30:40Z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FB14EA1744184720B23E034089990C09</vt:lpwstr>
  </property>
</Properties>
</file>