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附件4</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河源市知识产权金融创新促进项目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申报指南</w:t>
      </w:r>
    </w:p>
    <w:p>
      <w:pPr>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lang w:val="en-US" w:eastAsia="zh-CN"/>
        </w:rPr>
      </w:pPr>
    </w:p>
    <w:p>
      <w:pPr>
        <w:pageBreakBefore w:val="0"/>
        <w:widowControl w:val="0"/>
        <w:numPr>
          <w:ilvl w:val="-1"/>
          <w:numId w:val="0"/>
        </w:numPr>
        <w:kinsoku/>
        <w:wordWrap/>
        <w:overflowPunct/>
        <w:topLinePunct w:val="0"/>
        <w:bidi w:val="0"/>
        <w:adjustRightInd w:val="0"/>
        <w:snapToGrid w:val="0"/>
        <w:spacing w:beforeLines="0" w:afterLines="0" w:line="600" w:lineRule="exact"/>
        <w:ind w:firstLine="640" w:firstLineChars="200"/>
        <w:textAlignment w:val="auto"/>
        <w:rPr>
          <w:rFonts w:hint="eastAsia" w:eastAsia="黑体"/>
          <w:sz w:val="32"/>
        </w:rPr>
      </w:pPr>
      <w:r>
        <w:rPr>
          <w:rFonts w:hint="eastAsia" w:eastAsia="黑体"/>
          <w:sz w:val="32"/>
          <w:lang w:val="en-US" w:eastAsia="zh-CN"/>
        </w:rPr>
        <w:t>一、</w:t>
      </w:r>
      <w:r>
        <w:rPr>
          <w:rFonts w:hint="eastAsia" w:eastAsia="黑体"/>
          <w:sz w:val="32"/>
        </w:rPr>
        <w:t>项目名称</w:t>
      </w:r>
    </w:p>
    <w:p>
      <w:pPr>
        <w:pageBreakBefore w:val="0"/>
        <w:widowControl w:val="0"/>
        <w:numPr>
          <w:ilvl w:val="0"/>
          <w:numId w:val="0"/>
        </w:numPr>
        <w:kinsoku/>
        <w:wordWrap/>
        <w:overflowPunct/>
        <w:topLinePunct w:val="0"/>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2024年度河源市</w:t>
      </w:r>
      <w:r>
        <w:rPr>
          <w:rFonts w:hint="eastAsia" w:ascii="仿宋_GB2312" w:hAnsi="仿宋_GB2312" w:eastAsia="仿宋_GB2312" w:cs="仿宋_GB2312"/>
          <w:sz w:val="32"/>
        </w:rPr>
        <w:t>知识产权</w:t>
      </w:r>
      <w:r>
        <w:rPr>
          <w:rFonts w:hint="eastAsia" w:ascii="仿宋_GB2312" w:hAnsi="仿宋_GB2312" w:eastAsia="仿宋_GB2312" w:cs="仿宋_GB2312"/>
          <w:color w:val="auto"/>
          <w:sz w:val="32"/>
          <w:szCs w:val="32"/>
          <w:lang w:val="en-US" w:eastAsia="zh-CN"/>
        </w:rPr>
        <w:t>金融创新促进项目</w:t>
      </w:r>
    </w:p>
    <w:p>
      <w:pPr>
        <w:pageBreakBefore w:val="0"/>
        <w:widowControl w:val="0"/>
        <w:numPr>
          <w:ilvl w:val="-1"/>
          <w:numId w:val="0"/>
        </w:numPr>
        <w:kinsoku/>
        <w:wordWrap/>
        <w:overflowPunct/>
        <w:topLinePunct w:val="0"/>
        <w:bidi w:val="0"/>
        <w:adjustRightInd w:val="0"/>
        <w:snapToGrid w:val="0"/>
        <w:spacing w:beforeLines="0" w:afterLines="0" w:line="600" w:lineRule="exact"/>
        <w:ind w:left="0" w:leftChars="0" w:firstLine="640" w:firstLineChars="200"/>
        <w:textAlignment w:val="auto"/>
        <w:rPr>
          <w:rFonts w:hint="eastAsia" w:eastAsia="黑体"/>
          <w:sz w:val="32"/>
        </w:rPr>
      </w:pPr>
      <w:r>
        <w:rPr>
          <w:rFonts w:hint="eastAsia" w:eastAsia="黑体"/>
          <w:sz w:val="32"/>
          <w:lang w:val="en-US" w:eastAsia="zh-CN"/>
        </w:rPr>
        <w:t>二、</w:t>
      </w:r>
      <w:r>
        <w:rPr>
          <w:rFonts w:hint="eastAsia" w:eastAsia="黑体"/>
          <w:sz w:val="32"/>
        </w:rPr>
        <w:t>项目目标</w:t>
      </w:r>
    </w:p>
    <w:p>
      <w:pPr>
        <w:pageBreakBefore w:val="0"/>
        <w:widowControl w:val="0"/>
        <w:numPr>
          <w:ilvl w:val="0"/>
          <w:numId w:val="0"/>
        </w:numPr>
        <w:kinsoku/>
        <w:wordWrap/>
        <w:overflowPunct/>
        <w:topLinePunct w:val="0"/>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深入推进</w:t>
      </w:r>
      <w:r>
        <w:rPr>
          <w:rFonts w:hint="eastAsia" w:ascii="仿宋_GB2312" w:hAnsi="仿宋_GB2312" w:eastAsia="仿宋_GB2312" w:cs="仿宋_GB2312"/>
          <w:sz w:val="32"/>
        </w:rPr>
        <w:t>知识产权质押融资工作，</w:t>
      </w:r>
      <w:r>
        <w:rPr>
          <w:rFonts w:hint="eastAsia" w:ascii="仿宋_GB2312" w:hAnsi="仿宋_GB2312" w:eastAsia="仿宋_GB2312" w:cs="仿宋_GB2312"/>
          <w:sz w:val="32"/>
          <w:szCs w:val="32"/>
          <w:lang w:val="en-US" w:eastAsia="zh-CN"/>
        </w:rPr>
        <w:t>加大质押融资政策宣传力度和融资产品推介力度，联合银行机构等举办知识产权质押融资“入园惠企”专项对接活动及业务培训，推动金融机构创新知识产权金融产品，促使中小微企业与金融机构达成合作意向，</w:t>
      </w:r>
      <w:r>
        <w:rPr>
          <w:rFonts w:hint="eastAsia" w:ascii="仿宋_GB2312" w:hAnsi="仿宋_GB2312" w:eastAsia="仿宋_GB2312" w:cs="仿宋_GB2312"/>
          <w:sz w:val="32"/>
          <w:lang w:val="en-US" w:eastAsia="zh-CN"/>
        </w:rPr>
        <w:t>实现专利权和商标权质押融资登记金额逐年增长</w:t>
      </w:r>
      <w:r>
        <w:rPr>
          <w:rFonts w:hint="eastAsia" w:ascii="仿宋_GB2312" w:hAnsi="仿宋_GB2312" w:eastAsia="仿宋_GB2312" w:cs="仿宋_GB2312"/>
          <w:sz w:val="32"/>
          <w:szCs w:val="32"/>
          <w:lang w:val="en-US" w:eastAsia="zh-CN"/>
        </w:rPr>
        <w:t>。联合保险机构推广知识产权保险，推动保险机构优化创新知识产权保险产品。</w:t>
      </w:r>
    </w:p>
    <w:p>
      <w:pPr>
        <w:pageBreakBefore w:val="0"/>
        <w:widowControl w:val="0"/>
        <w:numPr>
          <w:ilvl w:val="-1"/>
          <w:numId w:val="0"/>
        </w:numPr>
        <w:kinsoku/>
        <w:wordWrap/>
        <w:overflowPunct/>
        <w:topLinePunct w:val="0"/>
        <w:bidi w:val="0"/>
        <w:spacing w:beforeLines="0" w:afterLines="0" w:line="600" w:lineRule="exact"/>
        <w:ind w:left="0" w:leftChars="0" w:firstLine="640" w:firstLineChars="200"/>
        <w:textAlignment w:val="auto"/>
        <w:rPr>
          <w:rFonts w:hint="eastAsia" w:eastAsia="黑体"/>
          <w:sz w:val="32"/>
        </w:rPr>
      </w:pPr>
      <w:r>
        <w:rPr>
          <w:rFonts w:hint="eastAsia" w:eastAsia="黑体"/>
          <w:sz w:val="32"/>
          <w:lang w:val="en-US" w:eastAsia="zh-CN"/>
        </w:rPr>
        <w:t>三、</w:t>
      </w:r>
      <w:r>
        <w:rPr>
          <w:rFonts w:hint="eastAsia" w:eastAsia="黑体"/>
          <w:sz w:val="32"/>
        </w:rPr>
        <w:t>项目任务</w:t>
      </w:r>
    </w:p>
    <w:p>
      <w:pPr>
        <w:pageBreakBefore w:val="0"/>
        <w:widowControl w:val="0"/>
        <w:numPr>
          <w:ilvl w:val="0"/>
          <w:numId w:val="0"/>
        </w:numPr>
        <w:kinsoku/>
        <w:wordWrap/>
        <w:overflowPunct/>
        <w:topLinePunct w:val="0"/>
        <w:bidi w:val="0"/>
        <w:adjustRightInd w:val="0"/>
        <w:snapToGrid w:val="0"/>
        <w:spacing w:beforeLines="0" w:afterLines="0" w:line="6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（一）</w:t>
      </w:r>
      <w:r>
        <w:rPr>
          <w:rFonts w:hint="eastAsia" w:ascii="仿宋_GB2312" w:hAnsi="仿宋_GB2312" w:eastAsia="仿宋_GB2312" w:cs="仿宋_GB2312"/>
          <w:b w:val="0"/>
          <w:bCs/>
          <w:sz w:val="32"/>
          <w:szCs w:val="32"/>
          <w:u w:val="none"/>
          <w:lang w:val="en-US" w:eastAsia="zh-CN"/>
        </w:rPr>
        <w:t>推动知识产权质押融资服务。深入调查重点客户知识产权投融资需求，建立与银行、担保、风投、评估及运营等机构多方合作机制，</w:t>
      </w:r>
      <w:r>
        <w:rPr>
          <w:rFonts w:hint="eastAsia" w:ascii="仿宋_GB2312" w:hAnsi="仿宋_GB2312" w:eastAsia="仿宋_GB2312" w:cs="仿宋_GB2312"/>
          <w:sz w:val="32"/>
          <w:lang w:val="en-US" w:eastAsia="zh-CN"/>
        </w:rPr>
        <w:t>组织专家走访不少于50家有代表性的科技型企业等，收集企业知识产权质押融资意向需求，</w:t>
      </w:r>
      <w:r>
        <w:rPr>
          <w:rFonts w:hint="eastAsia" w:ascii="仿宋_GB2312" w:hAnsi="仿宋_GB2312" w:eastAsia="仿宋_GB2312" w:cs="仿宋_GB2312"/>
          <w:sz w:val="32"/>
        </w:rPr>
        <w:t>建立企业知识产权融资需求和金融机构相关融资产品常态化调查机制，形成知识产权融资项目库和产品资源库。</w:t>
      </w:r>
    </w:p>
    <w:p>
      <w:pPr>
        <w:pageBreakBefore w:val="0"/>
        <w:widowControl w:val="0"/>
        <w:numPr>
          <w:ilvl w:val="0"/>
          <w:numId w:val="0"/>
        </w:numPr>
        <w:kinsoku/>
        <w:wordWrap/>
        <w:overflowPunct/>
        <w:topLinePunct w:val="0"/>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（二）推动知识产权质押融资工作。</w:t>
      </w:r>
      <w:r>
        <w:rPr>
          <w:rFonts w:hint="eastAsia" w:ascii="仿宋_GB2312" w:hAnsi="仿宋_GB2312" w:eastAsia="仿宋_GB2312" w:cs="仿宋_GB2312"/>
          <w:sz w:val="32"/>
        </w:rPr>
        <w:t>结合知识产权宣传周、“知识产权服务万里行”等重大活动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在</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个</w:t>
      </w:r>
      <w:r>
        <w:rPr>
          <w:rFonts w:hint="eastAsia" w:ascii="仿宋_GB2312" w:hAnsi="仿宋_GB2312" w:eastAsia="仿宋_GB2312" w:cs="仿宋_GB2312"/>
          <w:sz w:val="32"/>
          <w:lang w:eastAsia="zh-CN"/>
        </w:rPr>
        <w:t>以上</w:t>
      </w:r>
      <w:r>
        <w:rPr>
          <w:rFonts w:hint="eastAsia" w:ascii="仿宋_GB2312" w:hAnsi="仿宋_GB2312" w:eastAsia="仿宋_GB2312" w:cs="仿宋_GB2312"/>
          <w:sz w:val="32"/>
        </w:rPr>
        <w:t>园区开展</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场以上知识产权质押融资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入园惠企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专项对接活动</w:t>
      </w:r>
      <w:r>
        <w:rPr>
          <w:rFonts w:hint="eastAsia" w:ascii="仿宋_GB2312" w:hAnsi="仿宋_GB2312" w:eastAsia="仿宋_GB2312" w:cs="仿宋_GB2312"/>
          <w:sz w:val="32"/>
          <w:lang w:eastAsia="zh-CN"/>
        </w:rPr>
        <w:t>及相关业务培训</w:t>
      </w:r>
      <w:r>
        <w:rPr>
          <w:rFonts w:hint="eastAsia" w:ascii="仿宋_GB2312" w:hAnsi="仿宋_GB2312" w:eastAsia="仿宋_GB2312" w:cs="仿宋_GB2312"/>
          <w:sz w:val="32"/>
        </w:rPr>
        <w:t>，</w:t>
      </w:r>
      <w:r>
        <w:rPr>
          <w:rFonts w:hint="eastAsia" w:ascii="仿宋_GB2312" w:hAnsi="仿宋_GB2312" w:eastAsia="仿宋_GB2312" w:cs="仿宋_GB2312"/>
          <w:color w:val="auto"/>
          <w:sz w:val="32"/>
          <w:lang w:val="en-US" w:eastAsia="zh-CN"/>
        </w:rPr>
        <w:t>每场参加人员不少于50人，</w:t>
      </w:r>
      <w:r>
        <w:rPr>
          <w:rFonts w:hint="eastAsia" w:ascii="仿宋_GB2312" w:hAnsi="仿宋_GB2312" w:eastAsia="仿宋_GB2312" w:cs="仿宋_GB2312"/>
          <w:sz w:val="32"/>
        </w:rPr>
        <w:t>加大</w:t>
      </w:r>
      <w:r>
        <w:rPr>
          <w:rFonts w:hint="eastAsia" w:ascii="仿宋_GB2312" w:hAnsi="仿宋_GB2312" w:eastAsia="仿宋_GB2312" w:cs="仿宋_GB2312"/>
          <w:sz w:val="32"/>
          <w:lang w:val="en-US" w:eastAsia="zh-CN"/>
        </w:rPr>
        <w:t>质押融资扶持</w:t>
      </w:r>
      <w:r>
        <w:rPr>
          <w:rFonts w:hint="eastAsia" w:ascii="仿宋_GB2312" w:hAnsi="仿宋_GB2312" w:eastAsia="仿宋_GB2312" w:cs="仿宋_GB2312"/>
          <w:sz w:val="32"/>
        </w:rPr>
        <w:t>政策宣讲和融资产品推介力度。</w:t>
      </w:r>
      <w:r>
        <w:rPr>
          <w:rFonts w:hint="eastAsia" w:ascii="仿宋_GB2312" w:hAnsi="仿宋_GB2312" w:eastAsia="仿宋_GB2312" w:cs="仿宋_GB2312"/>
          <w:sz w:val="32"/>
          <w:lang w:val="en-US" w:eastAsia="zh-CN"/>
        </w:rPr>
        <w:t>积极推动知识产权金融工作，扩大知识产权质押融资受惠面，助力实现专利权和商标权质押融资登记金额逐年增长。</w:t>
      </w:r>
    </w:p>
    <w:p>
      <w:pPr>
        <w:pageBreakBefore w:val="0"/>
        <w:widowControl w:val="0"/>
        <w:numPr>
          <w:ilvl w:val="0"/>
          <w:numId w:val="0"/>
        </w:numPr>
        <w:kinsoku/>
        <w:wordWrap/>
        <w:overflowPunct/>
        <w:topLinePunct w:val="0"/>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（三）</w:t>
      </w:r>
      <w:r>
        <w:rPr>
          <w:rFonts w:hint="eastAsia" w:ascii="仿宋_GB2312" w:hAnsi="仿宋_GB2312" w:eastAsia="仿宋_GB2312" w:cs="仿宋_GB2312"/>
          <w:sz w:val="32"/>
          <w:szCs w:val="32"/>
          <w:lang w:val="en-US" w:eastAsia="zh-CN"/>
        </w:rPr>
        <w:t>推广知识产权保险业务。</w:t>
      </w:r>
      <w:r>
        <w:rPr>
          <w:rFonts w:hint="eastAsia" w:ascii="仿宋_GB2312" w:hAnsi="仿宋_GB2312" w:eastAsia="仿宋_GB2312" w:cs="仿宋_GB2312"/>
          <w:color w:val="auto"/>
          <w:sz w:val="32"/>
          <w:szCs w:val="32"/>
          <w:lang w:val="en-US" w:eastAsia="zh-CN"/>
        </w:rPr>
        <w:t>结合河源市发展现状，</w:t>
      </w:r>
      <w:r>
        <w:rPr>
          <w:rFonts w:hint="eastAsia" w:ascii="仿宋_GB2312" w:hAnsi="仿宋_GB2312" w:eastAsia="仿宋_GB2312" w:cs="仿宋_GB2312"/>
          <w:sz w:val="32"/>
          <w:szCs w:val="32"/>
          <w:lang w:val="en-US" w:eastAsia="zh-CN"/>
        </w:rPr>
        <w:t>联合保险机构</w:t>
      </w:r>
      <w:r>
        <w:rPr>
          <w:rFonts w:hint="eastAsia" w:ascii="仿宋_GB2312" w:hAnsi="仿宋_GB2312" w:eastAsia="仿宋_GB2312" w:cs="仿宋_GB2312"/>
          <w:color w:val="auto"/>
          <w:sz w:val="32"/>
          <w:szCs w:val="32"/>
          <w:lang w:val="en-US" w:eastAsia="zh-CN"/>
        </w:rPr>
        <w:t>拓宽知识产权保险宣传渠道，提高企业对知识产权保险的认识，积极推广知识产权保险及开展知识产权保险新品种研究</w:t>
      </w:r>
      <w:r>
        <w:rPr>
          <w:rFonts w:hint="eastAsia" w:ascii="仿宋_GB2312" w:hAnsi="仿宋_GB2312" w:eastAsia="仿宋_GB2312" w:cs="仿宋_GB2312"/>
          <w:sz w:val="32"/>
        </w:rPr>
        <w:t>。</w:t>
      </w:r>
    </w:p>
    <w:p>
      <w:pPr>
        <w:pageBreakBefore w:val="0"/>
        <w:widowControl w:val="0"/>
        <w:numPr>
          <w:ilvl w:val="-1"/>
          <w:numId w:val="0"/>
        </w:numPr>
        <w:kinsoku/>
        <w:wordWrap/>
        <w:overflowPunct/>
        <w:topLinePunct w:val="0"/>
        <w:bidi w:val="0"/>
        <w:spacing w:beforeLines="0" w:afterLines="0" w:line="600" w:lineRule="exact"/>
        <w:ind w:left="0" w:leftChars="0" w:firstLine="640" w:firstLineChars="200"/>
        <w:textAlignment w:val="auto"/>
        <w:rPr>
          <w:rFonts w:hint="eastAsia" w:eastAsia="黑体"/>
          <w:sz w:val="32"/>
        </w:rPr>
      </w:pPr>
      <w:r>
        <w:rPr>
          <w:rFonts w:hint="eastAsia" w:eastAsia="黑体"/>
          <w:sz w:val="32"/>
          <w:lang w:val="en-US" w:eastAsia="zh-CN"/>
        </w:rPr>
        <w:t>四、</w:t>
      </w:r>
      <w:r>
        <w:rPr>
          <w:rFonts w:hint="eastAsia" w:eastAsia="黑体"/>
          <w:sz w:val="32"/>
        </w:rPr>
        <w:t>申报主体及条件</w:t>
      </w:r>
    </w:p>
    <w:p>
      <w:pPr>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sz w:val="32"/>
          <w:lang w:val="en-US" w:eastAsia="zh-CN"/>
        </w:rPr>
        <w:t>（一）申报主体：</w:t>
      </w:r>
      <w:r>
        <w:rPr>
          <w:rFonts w:hint="eastAsia" w:ascii="仿宋_GB2312" w:hAnsi="仿宋_GB2312" w:eastAsia="仿宋_GB2312" w:cs="仿宋_GB2312"/>
          <w:sz w:val="32"/>
          <w:lang w:val="en-US" w:eastAsia="zh-CN"/>
        </w:rPr>
        <w:t>具有独立法人资格的企事业单位等,可联合金融机构、保险机构申报。</w:t>
      </w:r>
    </w:p>
    <w:p>
      <w:pPr>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sz w:val="32"/>
          <w:lang w:eastAsia="zh-CN"/>
        </w:rPr>
      </w:pPr>
      <w:r>
        <w:rPr>
          <w:rFonts w:hint="eastAsia" w:ascii="楷体_GB2312" w:hAnsi="楷体_GB2312" w:eastAsia="楷体_GB2312" w:cs="楷体_GB2312"/>
          <w:sz w:val="32"/>
          <w:lang w:val="en-US" w:eastAsia="zh-CN"/>
        </w:rPr>
        <w:t>（二）申报条件：</w:t>
      </w:r>
      <w:r>
        <w:rPr>
          <w:rFonts w:hint="eastAsia" w:ascii="仿宋_GB2312" w:hAnsi="仿宋_GB2312" w:eastAsia="仿宋_GB2312" w:cs="仿宋_GB2312"/>
          <w:sz w:val="32"/>
          <w:lang w:val="en-US" w:eastAsia="zh-CN"/>
        </w:rPr>
        <w:t>申报单位应</w:t>
      </w:r>
      <w:r>
        <w:rPr>
          <w:rFonts w:hint="eastAsia" w:ascii="仿宋_GB2312" w:hAnsi="仿宋_GB2312" w:eastAsia="仿宋_GB2312" w:cs="仿宋_GB2312"/>
          <w:sz w:val="32"/>
          <w:lang w:eastAsia="zh-CN"/>
        </w:rPr>
        <w:t>具备提供知识产权质押融资、</w:t>
      </w:r>
      <w:r>
        <w:rPr>
          <w:rFonts w:hint="eastAsia" w:ascii="仿宋_GB2312" w:hAnsi="仿宋_GB2312" w:eastAsia="仿宋_GB2312" w:cs="仿宋_GB2312"/>
          <w:sz w:val="32"/>
          <w:lang w:val="en-US" w:eastAsia="zh-CN"/>
        </w:rPr>
        <w:t>保险等</w:t>
      </w:r>
      <w:r>
        <w:rPr>
          <w:rFonts w:hint="eastAsia" w:ascii="仿宋_GB2312" w:hAnsi="仿宋_GB2312" w:eastAsia="仿宋_GB2312" w:cs="仿宋_GB2312"/>
          <w:sz w:val="32"/>
          <w:lang w:eastAsia="zh-CN"/>
        </w:rPr>
        <w:t>服务</w:t>
      </w:r>
      <w:r>
        <w:rPr>
          <w:rFonts w:hint="eastAsia" w:ascii="仿宋_GB2312" w:hAnsi="仿宋_GB2312" w:eastAsia="仿宋_GB2312" w:cs="仿宋_GB2312"/>
          <w:sz w:val="32"/>
          <w:lang w:val="en-US" w:eastAsia="zh-CN"/>
        </w:rPr>
        <w:t>必需</w:t>
      </w:r>
      <w:r>
        <w:rPr>
          <w:rFonts w:hint="eastAsia" w:ascii="仿宋_GB2312" w:hAnsi="仿宋_GB2312" w:eastAsia="仿宋_GB2312" w:cs="仿宋_GB2312"/>
          <w:sz w:val="32"/>
          <w:lang w:eastAsia="zh-CN"/>
        </w:rPr>
        <w:t>的人力资源、客户资源等条件，能够组织各类专家和比较广泛的服务对象参与，拥有知识产权质押融资服务项目经验。遵守专项资金管理有关规定，能按时、保质保量完成项目任务。已经承担省、市同类型项目且尚未验收或验收不合格的，不得申报。</w:t>
      </w:r>
    </w:p>
    <w:p>
      <w:pPr>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黑体" w:hAnsi="黑体" w:eastAsia="黑体"/>
          <w:sz w:val="32"/>
        </w:rPr>
      </w:pPr>
      <w:r>
        <w:rPr>
          <w:rFonts w:hint="eastAsia" w:ascii="黑体" w:hAnsi="黑体" w:eastAsia="黑体"/>
          <w:sz w:val="32"/>
        </w:rPr>
        <w:t>五、申报材料</w:t>
      </w:r>
    </w:p>
    <w:p>
      <w:pPr>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lang w:val="en-US" w:eastAsia="zh-CN"/>
        </w:rPr>
        <w:t>《2024年度河源市知识产权促进类项目申报书</w:t>
      </w:r>
      <w:bookmarkStart w:id="0" w:name="_GoBack"/>
      <w:bookmarkEnd w:id="0"/>
      <w:r>
        <w:rPr>
          <w:rFonts w:hint="eastAsia" w:ascii="仿宋_GB2312" w:hAnsi="仿宋_GB2312" w:eastAsia="仿宋_GB2312" w:cs="仿宋_GB2312"/>
          <w:sz w:val="32"/>
          <w:lang w:val="en-US" w:eastAsia="zh-CN"/>
        </w:rPr>
        <w:t>》（以下简称《申报书》）</w:t>
      </w:r>
      <w:r>
        <w:rPr>
          <w:rFonts w:hint="eastAsia" w:ascii="仿宋_GB2312" w:hAnsi="仿宋_GB2312" w:eastAsia="仿宋_GB2312" w:cs="仿宋_GB2312"/>
          <w:sz w:val="32"/>
          <w:lang w:eastAsia="zh-CN"/>
        </w:rPr>
        <w:t>；</w:t>
      </w:r>
    </w:p>
    <w:p>
      <w:pPr>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sz w:val="32"/>
          <w:lang w:eastAsia="zh-CN"/>
        </w:rPr>
        <w:t>（二）单位营业执照等法人资格证、</w:t>
      </w:r>
      <w:r>
        <w:rPr>
          <w:rFonts w:hint="eastAsia" w:ascii="仿宋_GB2312" w:hAnsi="仿宋_GB2312" w:eastAsia="仿宋_GB2312" w:cs="仿宋_GB2312"/>
          <w:sz w:val="32"/>
        </w:rPr>
        <w:t>银行开户许可证复印件</w:t>
      </w:r>
      <w:r>
        <w:rPr>
          <w:rFonts w:hint="eastAsia" w:ascii="仿宋_GB2312" w:hAnsi="仿宋_GB2312" w:eastAsia="仿宋_GB2312" w:cs="仿宋_GB2312"/>
          <w:b w:val="0"/>
          <w:bCs w:val="0"/>
          <w:sz w:val="32"/>
          <w:szCs w:val="32"/>
          <w:u w:val="none"/>
        </w:rPr>
        <w:t>；</w:t>
      </w:r>
    </w:p>
    <w:p>
      <w:pPr>
        <w:keepNext w:val="0"/>
        <w:keepLines w:val="0"/>
        <w:pageBreakBefore w:val="0"/>
        <w:widowControl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三</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u w:val="none"/>
          <w:lang w:val="en-US" w:eastAsia="zh-CN"/>
        </w:rPr>
        <w:t>相关资质和经验证明材料</w:t>
      </w:r>
      <w:r>
        <w:rPr>
          <w:rFonts w:hint="eastAsia" w:ascii="仿宋_GB2312" w:hAnsi="仿宋_GB2312" w:eastAsia="仿宋_GB2312" w:cs="仿宋_GB2312"/>
          <w:b w:val="0"/>
          <w:bCs w:val="0"/>
          <w:sz w:val="32"/>
          <w:szCs w:val="32"/>
          <w:u w:val="none"/>
          <w:lang w:eastAsia="zh-CN"/>
        </w:rPr>
        <w:t>；</w:t>
      </w:r>
    </w:p>
    <w:p>
      <w:pPr>
        <w:pageBreakBefore w:val="0"/>
        <w:widowControl w:val="0"/>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（四）近两年的财务报表；</w:t>
      </w:r>
    </w:p>
    <w:p>
      <w:pPr>
        <w:pStyle w:val="2"/>
        <w:pageBreakBefore w:val="0"/>
        <w:widowControl w:val="0"/>
        <w:numPr>
          <w:ilvl w:val="0"/>
          <w:numId w:val="0"/>
        </w:numPr>
        <w:tabs>
          <w:tab w:val="clear" w:pos="420"/>
        </w:tabs>
        <w:kinsoku/>
        <w:wordWrap/>
        <w:overflowPunct/>
        <w:topLinePunct w:val="0"/>
        <w:bidi w:val="0"/>
        <w:spacing w:beforeLines="0" w:afterLines="0" w:line="600" w:lineRule="exact"/>
        <w:ind w:left="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（五）真实性承诺函；</w:t>
      </w:r>
    </w:p>
    <w:p>
      <w:pPr>
        <w:pageBreakBefore w:val="0"/>
        <w:widowControl w:val="0"/>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（六）其他证明申报条件、申报优势的材料。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上述材料均需加盖公章并在《申报书》加盖骑缝章。</w:t>
      </w:r>
    </w:p>
    <w:p>
      <w:pPr>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黑体" w:hAnsi="黑体" w:eastAsia="黑体"/>
          <w:sz w:val="32"/>
          <w:lang w:val="en-US" w:eastAsia="zh-CN"/>
        </w:rPr>
      </w:pPr>
      <w:r>
        <w:rPr>
          <w:rFonts w:hint="eastAsia" w:ascii="黑体" w:hAnsi="黑体" w:eastAsia="黑体"/>
          <w:sz w:val="32"/>
          <w:lang w:eastAsia="zh-CN"/>
        </w:rPr>
        <w:t>六、</w:t>
      </w:r>
      <w:r>
        <w:rPr>
          <w:rFonts w:hint="eastAsia" w:ascii="黑体" w:hAnsi="黑体" w:eastAsia="黑体"/>
          <w:color w:val="auto"/>
          <w:sz w:val="32"/>
          <w:lang w:eastAsia="zh-CN"/>
        </w:rPr>
        <w:t>支持方式及额度、实施期限</w:t>
      </w:r>
    </w:p>
    <w:p>
      <w:pPr>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rPr>
      </w:pPr>
      <w:r>
        <w:rPr>
          <w:rFonts w:hint="eastAsia" w:ascii="仿宋_GB2312" w:hAnsi="仿宋_GB2312" w:eastAsia="仿宋_GB2312" w:cs="仿宋_GB2312"/>
          <w:color w:val="auto"/>
          <w:sz w:val="32"/>
          <w:lang w:eastAsia="zh-CN"/>
        </w:rPr>
        <w:t>支持项目</w:t>
      </w:r>
      <w:r>
        <w:rPr>
          <w:rFonts w:hint="eastAsia" w:ascii="仿宋_GB2312" w:hAnsi="仿宋_GB2312" w:cs="仿宋_GB2312"/>
          <w:color w:val="auto"/>
          <w:sz w:val="32"/>
          <w:lang w:val="en-US" w:eastAsia="zh-CN"/>
        </w:rPr>
        <w:t>1</w:t>
      </w:r>
      <w:r>
        <w:rPr>
          <w:rFonts w:hint="eastAsia" w:ascii="仿宋_GB2312" w:hAnsi="仿宋_GB2312" w:eastAsia="仿宋_GB2312" w:cs="仿宋_GB2312"/>
          <w:color w:val="auto"/>
          <w:sz w:val="32"/>
          <w:lang w:eastAsia="zh-CN"/>
        </w:rPr>
        <w:t>项，每项支持额度预计</w:t>
      </w:r>
      <w:r>
        <w:rPr>
          <w:rFonts w:hint="eastAsia" w:ascii="仿宋_GB2312" w:hAnsi="仿宋_GB2312" w:cs="仿宋_GB2312"/>
          <w:color w:val="auto"/>
          <w:sz w:val="32"/>
          <w:lang w:val="en-US" w:eastAsia="zh-CN"/>
        </w:rPr>
        <w:t>20</w:t>
      </w:r>
      <w:r>
        <w:rPr>
          <w:rFonts w:hint="eastAsia" w:ascii="仿宋_GB2312" w:hAnsi="仿宋_GB2312" w:eastAsia="仿宋_GB2312" w:cs="仿宋_GB2312"/>
          <w:color w:val="auto"/>
          <w:sz w:val="32"/>
          <w:lang w:eastAsia="zh-CN"/>
        </w:rPr>
        <w:t>万元；所有项目任务原则上需在2024年完成。</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9B6E0E-13B9-482C-9FF4-FCF83FDB88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87C8277-4986-40A2-86C3-92CD3609A0C1}"/>
  </w:font>
  <w:font w:name="方正小标宋_GBK">
    <w:panose1 w:val="02000000000000000000"/>
    <w:charset w:val="86"/>
    <w:family w:val="auto"/>
    <w:pitch w:val="default"/>
    <w:sig w:usb0="A00002BF" w:usb1="38CF7CFA" w:usb2="00082016" w:usb3="00000000" w:csb0="00040001" w:csb1="00000000"/>
    <w:embedRegular r:id="rId3" w:fontKey="{E98A4D64-80F1-46D5-B2F2-87997D94A5E6}"/>
  </w:font>
  <w:font w:name="楷体_GB2312">
    <w:altName w:val="楷体"/>
    <w:panose1 w:val="02010609030101010101"/>
    <w:charset w:val="86"/>
    <w:family w:val="auto"/>
    <w:pitch w:val="default"/>
    <w:sig w:usb0="00000000" w:usb1="00000000" w:usb2="00000000" w:usb3="00000000" w:csb0="00040000" w:csb1="00000000"/>
    <w:embedRegular r:id="rId4" w:fontKey="{33F29DF3-4A1D-40A9-AAB9-C04396592D0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-52070</wp:posOffset>
              </wp:positionV>
              <wp:extent cx="676910" cy="198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6910" cy="198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1pt;height:15.6pt;width:53.3pt;mso-position-horizontal:outside;mso-position-horizontal-relative:margin;z-index:251659264;mso-width-relative:page;mso-height-relative:page;" filled="f" stroked="f" coordsize="21600,21600" o:gfxdata="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3GJt1AAAAAYBAAAPAAAAAAAAAAEAIAAAACIAAABkcnMvZG93bnJldi54bWxQ&#10;SwECFAAUAAAACACHTuJAuxqXFzQCAABhBAAADgAAAAAAAAABACAAAAAjAQAAZHJzL2Uyb0RvYy54&#10;bWxQSwUGAAAAAAYABgBZAQAAyQUAAAAA&#10;">
              <v:fill on="f" focussize="0,0"/>
              <v:stroke on="f" weight="0.5pt"/>
              <v:imagedata o:title=""/>
              <o:lock v:ext="edit" aspectratio="f"/>
              <v:textbox inset="0mm,0mm,0mm,0mm">
                <w:txbxContent>
                  <w:p>
                    <w:pPr>
                      <w:pStyle w:val="4"/>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TM1YTE4MzA2NDYxYTlhMThjY2ExZWJmOGExZjYifQ=="/>
  </w:docVars>
  <w:rsids>
    <w:rsidRoot w:val="01C60527"/>
    <w:rsid w:val="005B0A06"/>
    <w:rsid w:val="01C60527"/>
    <w:rsid w:val="04E06C78"/>
    <w:rsid w:val="05235CC7"/>
    <w:rsid w:val="05AB4F66"/>
    <w:rsid w:val="066F24B8"/>
    <w:rsid w:val="077C515F"/>
    <w:rsid w:val="08594533"/>
    <w:rsid w:val="086278C1"/>
    <w:rsid w:val="0CC11FB8"/>
    <w:rsid w:val="0F5C2FEF"/>
    <w:rsid w:val="12C16C73"/>
    <w:rsid w:val="1A6D1194"/>
    <w:rsid w:val="1B63008E"/>
    <w:rsid w:val="1C591231"/>
    <w:rsid w:val="1C8648AF"/>
    <w:rsid w:val="1D09673C"/>
    <w:rsid w:val="1EBD1A20"/>
    <w:rsid w:val="21437E63"/>
    <w:rsid w:val="258B265B"/>
    <w:rsid w:val="260809E9"/>
    <w:rsid w:val="2C1D2D0D"/>
    <w:rsid w:val="2D30509D"/>
    <w:rsid w:val="2DF85E87"/>
    <w:rsid w:val="30CA49BB"/>
    <w:rsid w:val="31580DFA"/>
    <w:rsid w:val="340D5E76"/>
    <w:rsid w:val="350361FE"/>
    <w:rsid w:val="357A34CD"/>
    <w:rsid w:val="3A432061"/>
    <w:rsid w:val="3DD62A64"/>
    <w:rsid w:val="3EDCE7C0"/>
    <w:rsid w:val="46584C1D"/>
    <w:rsid w:val="4C1C7592"/>
    <w:rsid w:val="4C6CAC49"/>
    <w:rsid w:val="54AE59E5"/>
    <w:rsid w:val="591E2B7C"/>
    <w:rsid w:val="63810805"/>
    <w:rsid w:val="63D92477"/>
    <w:rsid w:val="66BB6BD3"/>
    <w:rsid w:val="6D1014FE"/>
    <w:rsid w:val="6F843614"/>
    <w:rsid w:val="73DB5306"/>
    <w:rsid w:val="75677464"/>
    <w:rsid w:val="76042055"/>
    <w:rsid w:val="76D44E81"/>
    <w:rsid w:val="777B9C45"/>
    <w:rsid w:val="7894090B"/>
    <w:rsid w:val="78B45E10"/>
    <w:rsid w:val="7F073AE9"/>
    <w:rsid w:val="9DFAC15C"/>
    <w:rsid w:val="BF7FBCAF"/>
    <w:rsid w:val="DF2FB3AA"/>
    <w:rsid w:val="FFE3C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style>
  <w:style w:type="paragraph" w:customStyle="1" w:styleId="10">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2</Pages>
  <Words>782</Words>
  <Characters>793</Characters>
  <Lines>0</Lines>
  <Paragraphs>0</Paragraphs>
  <TotalTime>2</TotalTime>
  <ScaleCrop>false</ScaleCrop>
  <LinksUpToDate>false</LinksUpToDate>
  <CharactersWithSpaces>793</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2021-09-11T02:53:00Z</dcterms:created>
  <dc:creator>何虹</dc:creator>
  <cp:lastModifiedBy>LM</cp:lastModifiedBy>
  <cp:lastPrinted>2024-02-02T03:14:00Z</cp:lastPrinted>
  <dcterms:modified xsi:type="dcterms:W3CDTF">2024-02-04T01:33:59Z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F588B350CE61DB248702BB656BA65801</vt:lpwstr>
  </property>
</Properties>
</file>