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Lines="-2147483648" w:afterLines="-2147483648" w:line="540" w:lineRule="exact"/>
        <w:textAlignment w:val="auto"/>
        <w:rPr>
          <w:rFonts w:hint="eastAsia" w:ascii="仿宋" w:hAnsi="仿宋" w:eastAsia="黑体" w:cs="Times New Roman"/>
          <w:color w:val="auto"/>
          <w:sz w:val="32"/>
          <w:szCs w:val="24"/>
          <w:lang w:val="en-US" w:eastAsia="zh-CN" w:bidi="ar-SA"/>
        </w:rPr>
      </w:pPr>
      <w:r>
        <w:rPr>
          <w:rFonts w:hint="eastAsia" w:ascii="黑体" w:hAnsi="黑体" w:eastAsia="黑体" w:cs="仿宋"/>
          <w:color w:val="auto"/>
          <w:sz w:val="32"/>
          <w:szCs w:val="32"/>
          <w:lang w:bidi="ar-SA"/>
        </w:rPr>
        <w:t>附件</w:t>
      </w:r>
      <w:r>
        <w:rPr>
          <w:rFonts w:hint="eastAsia" w:ascii="黑体" w:hAnsi="黑体" w:eastAsia="黑体" w:cs="仿宋"/>
          <w:color w:val="auto"/>
          <w:sz w:val="32"/>
          <w:szCs w:val="32"/>
          <w:lang w:val="en-US" w:eastAsia="zh-CN" w:bidi="ar-SA"/>
        </w:rPr>
        <w:t>3</w:t>
      </w:r>
    </w:p>
    <w:p>
      <w:pPr>
        <w:keepNext w:val="0"/>
        <w:keepLines w:val="0"/>
        <w:pageBreakBefore w:val="0"/>
        <w:kinsoku/>
        <w:wordWrap/>
        <w:overflowPunct/>
        <w:topLinePunct w:val="0"/>
        <w:autoSpaceDE/>
        <w:autoSpaceDN/>
        <w:bidi w:val="0"/>
        <w:spacing w:beforeLines="-2147483648" w:afterLines="-2147483648" w:line="540" w:lineRule="exact"/>
        <w:jc w:val="center"/>
        <w:textAlignment w:val="auto"/>
        <w:rPr>
          <w:rFonts w:hint="eastAsia" w:ascii="Calibri" w:hAnsi="Calibri" w:eastAsia="宋体" w:cs="Times New Roman"/>
          <w:color w:val="auto"/>
          <w:sz w:val="8"/>
          <w:szCs w:val="4"/>
        </w:rPr>
      </w:pPr>
      <w:r>
        <w:rPr>
          <w:rFonts w:hint="eastAsia" w:ascii="方正小标宋简体" w:hAnsi="仿宋" w:eastAsia="方正小标宋简体" w:cs="仿宋"/>
          <w:color w:val="auto"/>
          <w:sz w:val="44"/>
          <w:szCs w:val="44"/>
          <w:lang w:bidi="ar-SA"/>
        </w:rPr>
        <w:t>关于部分检验项目的说明</w:t>
      </w:r>
    </w:p>
    <w:p>
      <w:pPr>
        <w:keepNext w:val="0"/>
        <w:keepLines w:val="0"/>
        <w:widowControl/>
        <w:suppressLineNumbers w:val="0"/>
        <w:wordWrap w:val="0"/>
        <w:jc w:val="left"/>
        <w:rPr>
          <w:rFonts w:hint="eastAsia" w:ascii="仿宋_GB2312" w:hAnsi="仿宋_GB2312" w:eastAsia="仿宋_GB2312" w:cs="Times New Roman"/>
          <w:color w:val="auto"/>
          <w:w w:val="98"/>
          <w:kern w:val="2"/>
          <w:sz w:val="32"/>
          <w:szCs w:val="20"/>
          <w:lang w:val="en-US" w:eastAsia="zh-CN" w:bidi="ar-SA"/>
        </w:rPr>
      </w:pPr>
    </w:p>
    <w:p>
      <w:pPr>
        <w:pStyle w:val="6"/>
        <w:keepNext w:val="0"/>
        <w:keepLines w:val="0"/>
        <w:pageBreakBefore w:val="0"/>
        <w:kinsoku/>
        <w:wordWrap/>
        <w:overflowPunct/>
        <w:topLinePunct w:val="0"/>
        <w:autoSpaceDE/>
        <w:autoSpaceDN/>
        <w:bidi w:val="0"/>
        <w:spacing w:line="540" w:lineRule="exact"/>
        <w:ind w:left="0" w:leftChars="0" w:firstLine="641" w:firstLineChars="204"/>
        <w:textAlignment w:val="auto"/>
        <w:rPr>
          <w:rFonts w:hint="default" w:ascii="仿宋_GB2312" w:hAnsi="仿宋_GB2312" w:eastAsia="仿宋_GB2312" w:cs="Times New Roman"/>
          <w:b/>
          <w:bCs/>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（一）恩诺沙星</w:t>
      </w:r>
    </w:p>
    <w:p>
      <w:pPr>
        <w:keepNext w:val="0"/>
        <w:keepLines w:val="0"/>
        <w:widowControl/>
        <w:suppressLineNumbers w:val="0"/>
        <w:wordWrap w:val="0"/>
        <w:ind w:firstLine="626" w:firstLineChars="200"/>
        <w:jc w:val="left"/>
        <w:rPr>
          <w:rFonts w:hint="eastAsia" w:ascii="仿宋_GB2312" w:hAnsi="仿宋_GB2312" w:eastAsia="仿宋_GB2312" w:cs="Times New Roman"/>
          <w:b/>
          <w:bCs/>
          <w:color w:val="auto"/>
          <w:w w:val="98"/>
          <w:kern w:val="2"/>
          <w:sz w:val="32"/>
          <w:szCs w:val="20"/>
          <w:lang w:val="en-US" w:eastAsia="zh-CN" w:bidi="ar-SA"/>
        </w:rPr>
      </w:pPr>
      <w:r>
        <w:rPr>
          <w:rFonts w:hint="default" w:ascii="仿宋_GB2312" w:hAnsi="仿宋_GB2312" w:eastAsia="仿宋_GB2312" w:cs="Times New Roman"/>
          <w:color w:val="auto"/>
          <w:w w:val="98"/>
          <w:kern w:val="2"/>
          <w:sz w:val="32"/>
          <w:szCs w:val="20"/>
          <w:lang w:val="en-US" w:eastAsia="zh-CN" w:bidi="ar-SA"/>
        </w:rPr>
        <w:t>恩诺沙星属于氟喹诺酮类药物，是一类人工合成的广谱抗菌药，用于治疗动物的皮肤感染、呼吸道感染等，是动物专属用药。长期食用恩诺沙星超标的食品，对人体健康可能有一定</w:t>
      </w:r>
      <w:r>
        <w:rPr>
          <w:rFonts w:hint="eastAsia" w:ascii="仿宋_GB2312" w:hAnsi="仿宋_GB2312" w:eastAsia="仿宋_GB2312" w:cs="Times New Roman"/>
          <w:color w:val="auto"/>
          <w:w w:val="98"/>
          <w:kern w:val="2"/>
          <w:sz w:val="32"/>
          <w:szCs w:val="20"/>
          <w:lang w:val="en-US" w:eastAsia="zh-CN" w:bidi="ar-SA"/>
        </w:rPr>
        <w:t>影响</w:t>
      </w:r>
      <w:r>
        <w:rPr>
          <w:rFonts w:hint="default" w:ascii="仿宋_GB2312" w:hAnsi="仿宋_GB2312" w:eastAsia="仿宋_GB2312" w:cs="Times New Roman"/>
          <w:color w:val="auto"/>
          <w:w w:val="98"/>
          <w:kern w:val="2"/>
          <w:sz w:val="32"/>
          <w:szCs w:val="20"/>
          <w:lang w:val="en-US" w:eastAsia="zh-CN" w:bidi="ar-SA"/>
        </w:rPr>
        <w:t>。《食品安全国家标准 食品中兽药最大残留限量》（GB 31650—2019）中规定，恩诺沙星在</w:t>
      </w:r>
      <w:r>
        <w:rPr>
          <w:rFonts w:hint="eastAsia" w:ascii="仿宋_GB2312" w:hAnsi="仿宋_GB2312" w:eastAsia="仿宋_GB2312" w:cs="Times New Roman"/>
          <w:color w:val="auto"/>
          <w:w w:val="98"/>
          <w:kern w:val="2"/>
          <w:sz w:val="32"/>
          <w:szCs w:val="20"/>
          <w:lang w:val="en-US" w:eastAsia="zh-CN" w:bidi="ar-SA"/>
        </w:rPr>
        <w:t>淡水鱼和贝类</w:t>
      </w:r>
      <w:r>
        <w:rPr>
          <w:rFonts w:hint="default" w:ascii="仿宋_GB2312" w:hAnsi="仿宋_GB2312" w:eastAsia="仿宋_GB2312" w:cs="Times New Roman"/>
          <w:color w:val="auto"/>
          <w:w w:val="98"/>
          <w:kern w:val="2"/>
          <w:sz w:val="32"/>
          <w:szCs w:val="20"/>
          <w:lang w:val="en-US" w:eastAsia="zh-CN" w:bidi="ar-SA"/>
        </w:rPr>
        <w:t>中的最大残留限量值</w:t>
      </w:r>
      <w:r>
        <w:rPr>
          <w:rFonts w:hint="eastAsia" w:ascii="仿宋_GB2312" w:hAnsi="仿宋_GB2312" w:eastAsia="仿宋_GB2312" w:cs="Times New Roman"/>
          <w:color w:val="auto"/>
          <w:w w:val="98"/>
          <w:kern w:val="2"/>
          <w:sz w:val="32"/>
          <w:szCs w:val="20"/>
          <w:lang w:val="en-US" w:eastAsia="zh-CN" w:bidi="ar-SA"/>
        </w:rPr>
        <w:t>都</w:t>
      </w:r>
      <w:r>
        <w:rPr>
          <w:rFonts w:hint="default" w:ascii="仿宋_GB2312" w:hAnsi="仿宋_GB2312" w:eastAsia="仿宋_GB2312" w:cs="Times New Roman"/>
          <w:color w:val="auto"/>
          <w:w w:val="98"/>
          <w:kern w:val="2"/>
          <w:sz w:val="32"/>
          <w:szCs w:val="20"/>
          <w:lang w:val="en-US" w:eastAsia="zh-CN" w:bidi="ar-SA"/>
        </w:rPr>
        <w:t>为100μg/kg。</w:t>
      </w:r>
      <w:r>
        <w:rPr>
          <w:rFonts w:hint="eastAsia" w:ascii="仿宋_GB2312" w:hAnsi="仿宋_GB2312" w:eastAsia="仿宋_GB2312" w:cs="Times New Roman"/>
          <w:color w:val="auto"/>
          <w:w w:val="98"/>
          <w:kern w:val="2"/>
          <w:sz w:val="32"/>
          <w:szCs w:val="20"/>
          <w:lang w:val="en-US" w:eastAsia="zh-CN" w:bidi="ar-SA"/>
        </w:rPr>
        <w:t>淡水鱼及贝类</w:t>
      </w:r>
      <w:r>
        <w:rPr>
          <w:rFonts w:hint="default" w:ascii="仿宋_GB2312" w:hAnsi="仿宋_GB2312" w:eastAsia="仿宋_GB2312" w:cs="Times New Roman"/>
          <w:color w:val="auto"/>
          <w:w w:val="98"/>
          <w:kern w:val="2"/>
          <w:sz w:val="32"/>
          <w:szCs w:val="20"/>
          <w:lang w:val="en-US" w:eastAsia="zh-CN" w:bidi="ar-SA"/>
        </w:rPr>
        <w:t>中恩诺沙星超标的原因，可能是在养殖过程中为快速控制疫病，违规加大用药量或不遵守休药期规定，致使产品上市销售时的药物残留量超标。</w:t>
      </w:r>
    </w:p>
    <w:p>
      <w:pPr>
        <w:pStyle w:val="6"/>
        <w:keepNext w:val="0"/>
        <w:keepLines w:val="0"/>
        <w:pageBreakBefore w:val="0"/>
        <w:kinsoku/>
        <w:wordWrap/>
        <w:overflowPunct/>
        <w:topLinePunct w:val="0"/>
        <w:autoSpaceDE/>
        <w:autoSpaceDN/>
        <w:bidi w:val="0"/>
        <w:spacing w:line="540" w:lineRule="exact"/>
        <w:ind w:left="0" w:leftChars="0" w:firstLine="641" w:firstLineChars="204"/>
        <w:textAlignment w:val="auto"/>
        <w:rPr>
          <w:rFonts w:hint="default" w:ascii="仿宋_GB2312" w:hAnsi="仿宋_GB2312" w:eastAsia="仿宋_GB2312" w:cs="Times New Roman"/>
          <w:b/>
          <w:bCs/>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（二）</w:t>
      </w:r>
      <w:r>
        <w:rPr>
          <w:rFonts w:hint="default" w:ascii="仿宋_GB2312" w:hAnsi="仿宋_GB2312" w:eastAsia="仿宋_GB2312" w:cs="Times New Roman"/>
          <w:b/>
          <w:bCs/>
          <w:color w:val="auto"/>
          <w:w w:val="98"/>
          <w:kern w:val="2"/>
          <w:sz w:val="32"/>
          <w:szCs w:val="20"/>
          <w:lang w:val="en-US" w:eastAsia="zh-CN" w:bidi="ar-SA"/>
        </w:rPr>
        <w:t>镉（以Cd计）</w:t>
      </w:r>
    </w:p>
    <w:p>
      <w:pPr>
        <w:keepNext w:val="0"/>
        <w:keepLines w:val="0"/>
        <w:widowControl/>
        <w:suppressLineNumbers w:val="0"/>
        <w:wordWrap w:val="0"/>
        <w:ind w:left="0" w:firstLine="626" w:firstLineChars="200"/>
        <w:jc w:val="left"/>
        <w:rPr>
          <w:rFonts w:hint="default" w:ascii="仿宋_GB2312" w:hAnsi="仿宋_GB2312" w:eastAsia="仿宋_GB2312" w:cs="Times New Roman"/>
          <w:color w:val="auto"/>
          <w:w w:val="98"/>
          <w:kern w:val="2"/>
          <w:sz w:val="32"/>
          <w:szCs w:val="20"/>
          <w:lang w:val="en-US" w:eastAsia="zh-CN" w:bidi="ar-SA"/>
        </w:rPr>
      </w:pPr>
      <w:r>
        <w:rPr>
          <w:rFonts w:hint="default" w:ascii="仿宋_GB2312" w:hAnsi="仿宋_GB2312" w:eastAsia="仿宋_GB2312" w:cs="Times New Roman"/>
          <w:color w:val="auto"/>
          <w:w w:val="98"/>
          <w:kern w:val="2"/>
          <w:sz w:val="32"/>
          <w:szCs w:val="20"/>
          <w:lang w:val="en-US" w:eastAsia="zh-CN" w:bidi="ar-SA"/>
        </w:rPr>
        <w:t>镉（以Cd计）是一种蓄积性的重金属元素。长期食用镉（以Cd计）超标的食品，对人体健康有一定影响。《食品安全国家标准 食品中污染物限量》（GB 2762—2017）中规定：镉（以Cd计）在鲜、冻水产动物（甲壳类）中的</w:t>
      </w:r>
      <w:bookmarkStart w:id="0" w:name="_GoBack"/>
      <w:bookmarkEnd w:id="0"/>
      <w:r>
        <w:rPr>
          <w:rFonts w:hint="default" w:ascii="仿宋_GB2312" w:hAnsi="仿宋_GB2312" w:eastAsia="仿宋_GB2312" w:cs="Times New Roman"/>
          <w:color w:val="auto"/>
          <w:w w:val="98"/>
          <w:kern w:val="2"/>
          <w:sz w:val="32"/>
          <w:szCs w:val="20"/>
          <w:lang w:val="en-US" w:eastAsia="zh-CN" w:bidi="ar-SA"/>
        </w:rPr>
        <w:t>最大残留限量为0.5mg/kg。水产动物产品主要有海水蟹</w:t>
      </w:r>
      <w:r>
        <w:rPr>
          <w:rFonts w:hint="eastAsia" w:ascii="仿宋_GB2312" w:hAnsi="仿宋_GB2312" w:eastAsia="仿宋_GB2312" w:cs="Times New Roman"/>
          <w:color w:val="auto"/>
          <w:w w:val="98"/>
          <w:kern w:val="2"/>
          <w:sz w:val="32"/>
          <w:szCs w:val="20"/>
          <w:lang w:val="en-US" w:eastAsia="zh-CN" w:bidi="ar-SA"/>
        </w:rPr>
        <w:t>中</w:t>
      </w:r>
      <w:r>
        <w:rPr>
          <w:rFonts w:hint="default" w:ascii="仿宋_GB2312" w:hAnsi="仿宋_GB2312" w:eastAsia="仿宋_GB2312" w:cs="Times New Roman"/>
          <w:color w:val="auto"/>
          <w:w w:val="98"/>
          <w:kern w:val="2"/>
          <w:sz w:val="32"/>
          <w:szCs w:val="20"/>
          <w:lang w:val="en-US" w:eastAsia="zh-CN" w:bidi="ar-SA"/>
        </w:rPr>
        <w:t>镉超标的原因，可能是其生长过程中富集环境中的镉元素所致。</w:t>
      </w:r>
    </w:p>
    <w:p>
      <w:pPr>
        <w:pStyle w:val="6"/>
        <w:keepNext w:val="0"/>
        <w:keepLines w:val="0"/>
        <w:pageBreakBefore w:val="0"/>
        <w:kinsoku/>
        <w:wordWrap/>
        <w:overflowPunct/>
        <w:topLinePunct w:val="0"/>
        <w:autoSpaceDE/>
        <w:autoSpaceDN/>
        <w:bidi w:val="0"/>
        <w:spacing w:line="540" w:lineRule="exact"/>
        <w:ind w:left="0" w:leftChars="0" w:firstLine="641" w:firstLineChars="204"/>
        <w:textAlignment w:val="auto"/>
        <w:rPr>
          <w:rFonts w:hint="default" w:ascii="仿宋_GB2312" w:hAnsi="仿宋_GB2312" w:eastAsia="仿宋_GB2312" w:cs="Times New Roman"/>
          <w:b/>
          <w:bCs/>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（三）氯氟氰菊酯和高效氯氟氰菊酯</w:t>
      </w:r>
    </w:p>
    <w:p>
      <w:pPr>
        <w:keepNext w:val="0"/>
        <w:keepLines w:val="0"/>
        <w:widowControl/>
        <w:suppressLineNumbers w:val="0"/>
        <w:wordWrap w:val="0"/>
        <w:ind w:left="0" w:firstLine="626" w:firstLineChars="200"/>
        <w:jc w:val="left"/>
        <w:rPr>
          <w:rFonts w:hint="default" w:ascii="仿宋_GB2312" w:hAnsi="仿宋_GB2312" w:eastAsia="仿宋_GB2312" w:cs="Times New Roman"/>
          <w:color w:val="auto"/>
          <w:w w:val="98"/>
          <w:kern w:val="2"/>
          <w:sz w:val="32"/>
          <w:szCs w:val="20"/>
          <w:lang w:val="en-US" w:eastAsia="zh-CN" w:bidi="ar-SA"/>
        </w:rPr>
      </w:pPr>
      <w:r>
        <w:rPr>
          <w:rFonts w:hint="default" w:ascii="仿宋_GB2312" w:hAnsi="仿宋_GB2312" w:eastAsia="仿宋_GB2312" w:cs="Times New Roman"/>
          <w:color w:val="auto"/>
          <w:w w:val="98"/>
          <w:kern w:val="2"/>
          <w:sz w:val="32"/>
          <w:szCs w:val="20"/>
          <w:lang w:val="en-US" w:eastAsia="zh-CN" w:bidi="ar-SA"/>
        </w:rPr>
        <w:t>氯氟氰菊酯和高效氯氟氰菊酯是一种拟除虫菊酯类杀虫剂，具有广谱、高效、快速的作用特点，对害虫以触杀和胃毒为主。《食品安全国家标准 食品中农药最大残留限量》（GB 2763—20</w:t>
      </w:r>
      <w:r>
        <w:rPr>
          <w:rFonts w:hint="eastAsia" w:ascii="仿宋_GB2312" w:hAnsi="仿宋_GB2312" w:eastAsia="仿宋_GB2312" w:cs="Times New Roman"/>
          <w:color w:val="auto"/>
          <w:w w:val="98"/>
          <w:kern w:val="2"/>
          <w:sz w:val="32"/>
          <w:szCs w:val="20"/>
          <w:lang w:val="en-US" w:eastAsia="zh-CN" w:bidi="ar-SA"/>
        </w:rPr>
        <w:t>21</w:t>
      </w:r>
      <w:r>
        <w:rPr>
          <w:rFonts w:hint="default" w:ascii="仿宋_GB2312" w:hAnsi="仿宋_GB2312" w:eastAsia="仿宋_GB2312" w:cs="Times New Roman"/>
          <w:color w:val="auto"/>
          <w:w w:val="98"/>
          <w:kern w:val="2"/>
          <w:sz w:val="32"/>
          <w:szCs w:val="20"/>
          <w:lang w:val="en-US" w:eastAsia="zh-CN" w:bidi="ar-SA"/>
        </w:rPr>
        <w:t>）中规定，氯氟氰菊酯和高效氯氟氰菊酯在</w:t>
      </w:r>
      <w:r>
        <w:rPr>
          <w:rFonts w:hint="eastAsia" w:ascii="仿宋_GB2312" w:hAnsi="仿宋_GB2312" w:eastAsia="仿宋_GB2312" w:cs="Times New Roman"/>
          <w:color w:val="auto"/>
          <w:w w:val="98"/>
          <w:kern w:val="2"/>
          <w:sz w:val="32"/>
          <w:szCs w:val="20"/>
          <w:lang w:val="en-US" w:eastAsia="zh-CN" w:bidi="ar-SA"/>
        </w:rPr>
        <w:t>苦瓜</w:t>
      </w:r>
      <w:r>
        <w:rPr>
          <w:rFonts w:hint="default" w:ascii="仿宋_GB2312" w:hAnsi="仿宋_GB2312" w:eastAsia="仿宋_GB2312" w:cs="Times New Roman"/>
          <w:color w:val="auto"/>
          <w:w w:val="98"/>
          <w:kern w:val="2"/>
          <w:sz w:val="32"/>
          <w:szCs w:val="20"/>
          <w:lang w:val="en-US" w:eastAsia="zh-CN" w:bidi="ar-SA"/>
        </w:rPr>
        <w:t>中的最大残留限量为</w:t>
      </w:r>
      <w:r>
        <w:rPr>
          <w:rFonts w:hint="eastAsia" w:ascii="仿宋_GB2312" w:hAnsi="仿宋_GB2312" w:eastAsia="仿宋_GB2312" w:cs="Times New Roman"/>
          <w:color w:val="auto"/>
          <w:w w:val="98"/>
          <w:kern w:val="2"/>
          <w:sz w:val="32"/>
          <w:szCs w:val="20"/>
          <w:lang w:val="en-US" w:eastAsia="zh-CN" w:bidi="ar-SA"/>
        </w:rPr>
        <w:t>0.2</w:t>
      </w:r>
      <w:r>
        <w:rPr>
          <w:rFonts w:hint="default" w:ascii="仿宋_GB2312" w:hAnsi="仿宋_GB2312" w:eastAsia="仿宋_GB2312" w:cs="Times New Roman"/>
          <w:color w:val="auto"/>
          <w:w w:val="98"/>
          <w:kern w:val="2"/>
          <w:sz w:val="32"/>
          <w:szCs w:val="20"/>
          <w:lang w:val="en-US" w:eastAsia="zh-CN" w:bidi="ar-SA"/>
        </w:rPr>
        <w:t>mg/kg。少量的农药残留不会引起人体急性中毒，但长期食用农药残留超标的食品，对人体健康有一定影响。</w:t>
      </w:r>
    </w:p>
    <w:p>
      <w:pPr>
        <w:pStyle w:val="6"/>
        <w:keepNext w:val="0"/>
        <w:keepLines w:val="0"/>
        <w:pageBreakBefore w:val="0"/>
        <w:kinsoku/>
        <w:wordWrap/>
        <w:overflowPunct/>
        <w:topLinePunct w:val="0"/>
        <w:autoSpaceDE/>
        <w:autoSpaceDN/>
        <w:bidi w:val="0"/>
        <w:spacing w:line="540" w:lineRule="exact"/>
        <w:ind w:left="0" w:leftChars="0" w:firstLine="641" w:firstLineChars="204"/>
        <w:textAlignment w:val="auto"/>
        <w:rPr>
          <w:rFonts w:hint="eastAsia" w:ascii="仿宋_GB2312" w:hAnsi="仿宋_GB2312" w:eastAsia="仿宋_GB2312" w:cs="Times New Roman"/>
          <w:b/>
          <w:bCs/>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（四）磺胺类（总量）</w:t>
      </w:r>
    </w:p>
    <w:p>
      <w:pPr>
        <w:keepNext w:val="0"/>
        <w:keepLines w:val="0"/>
        <w:widowControl/>
        <w:suppressLineNumbers w:val="0"/>
        <w:wordWrap w:val="0"/>
        <w:ind w:firstLine="626" w:firstLineChars="200"/>
        <w:jc w:val="left"/>
        <w:rPr>
          <w:rFonts w:hint="eastAsia" w:ascii="仿宋_GB2312" w:hAnsi="仿宋_GB2312" w:eastAsia="仿宋_GB2312" w:cs="Times New Roman"/>
          <w:color w:val="auto"/>
          <w:w w:val="98"/>
          <w:kern w:val="2"/>
          <w:sz w:val="32"/>
          <w:szCs w:val="20"/>
          <w:lang w:val="en-US" w:eastAsia="zh-CN" w:bidi="ar-SA"/>
        </w:rPr>
      </w:pPr>
      <w:r>
        <w:rPr>
          <w:rFonts w:hint="default" w:ascii="仿宋_GB2312" w:hAnsi="仿宋_GB2312" w:eastAsia="仿宋_GB2312" w:cs="Times New Roman"/>
          <w:color w:val="auto"/>
          <w:w w:val="98"/>
          <w:kern w:val="2"/>
          <w:sz w:val="32"/>
          <w:szCs w:val="20"/>
          <w:lang w:val="en-US" w:eastAsia="zh-CN" w:bidi="ar-SA"/>
        </w:rPr>
        <w:t>磺胺类药物是一类人工合成的抑菌药，其具有抗菌谱广、性质稳定、便于贮存、吸收迅速等优点，用于动物疫病治疗。长期大量食用磺胺类（总量）残留超标的食品，可能在人体内蓄积，不利健康，可引起过敏反应和耐药性菌株的产生。《食品安全国家标准 食品中兽药最大残留限量》（GB 31650—2019）中规定，磺胺类（总量）在鱼的皮和肉中最大残留限量值为100μg/kg。淡水鱼中磺胺类（总量）残留量超标的原因，可能是在养殖过程中为快速控制疫病，违规加大用药量或不遵守休药期规定，致使上市销售产品中的药物残留量超标。</w:t>
      </w:r>
    </w:p>
    <w:p>
      <w:pPr>
        <w:pStyle w:val="6"/>
        <w:keepNext w:val="0"/>
        <w:keepLines w:val="0"/>
        <w:pageBreakBefore w:val="0"/>
        <w:kinsoku/>
        <w:wordWrap/>
        <w:overflowPunct/>
        <w:topLinePunct w:val="0"/>
        <w:autoSpaceDE/>
        <w:autoSpaceDN/>
        <w:bidi w:val="0"/>
        <w:spacing w:line="540" w:lineRule="exact"/>
        <w:ind w:left="0" w:leftChars="0" w:firstLine="641" w:firstLineChars="204"/>
        <w:textAlignment w:val="auto"/>
        <w:rPr>
          <w:rFonts w:hint="eastAsia" w:ascii="仿宋_GB2312" w:hAnsi="仿宋_GB2312" w:eastAsia="仿宋_GB2312" w:cs="Times New Roman"/>
          <w:b/>
          <w:bCs/>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（五）黄曲霉毒素B1</w:t>
      </w:r>
    </w:p>
    <w:p>
      <w:pPr>
        <w:keepNext w:val="0"/>
        <w:keepLines w:val="0"/>
        <w:widowControl/>
        <w:suppressLineNumbers w:val="0"/>
        <w:wordWrap w:val="0"/>
        <w:ind w:firstLine="626" w:firstLineChars="200"/>
        <w:jc w:val="left"/>
        <w:rPr>
          <w:rFonts w:hint="eastAsia" w:ascii="仿宋_GB2312" w:hAnsi="仿宋_GB2312" w:eastAsia="仿宋_GB2312" w:cs="Times New Roman"/>
          <w:color w:val="auto"/>
          <w:w w:val="98"/>
          <w:kern w:val="2"/>
          <w:sz w:val="32"/>
          <w:szCs w:val="20"/>
          <w:highlight w:val="none"/>
          <w:lang w:val="en-US" w:eastAsia="zh-CN" w:bidi="ar-SA"/>
        </w:rPr>
      </w:pPr>
      <w:r>
        <w:rPr>
          <w:rFonts w:hint="eastAsia" w:ascii="仿宋_GB2312" w:hAnsi="仿宋_GB2312" w:eastAsia="仿宋_GB2312" w:cs="Times New Roman"/>
          <w:color w:val="auto"/>
          <w:w w:val="98"/>
          <w:kern w:val="2"/>
          <w:sz w:val="32"/>
          <w:szCs w:val="20"/>
          <w:highlight w:val="none"/>
          <w:lang w:val="en-US" w:eastAsia="zh-CN" w:bidi="ar-SA"/>
        </w:rPr>
        <w:t>黄曲霉毒素B</w:t>
      </w:r>
      <w:r>
        <w:rPr>
          <w:rFonts w:hint="eastAsia" w:ascii="仿宋_GB2312" w:hAnsi="仿宋_GB2312" w:eastAsia="仿宋_GB2312" w:cs="Times New Roman"/>
          <w:color w:val="auto"/>
          <w:w w:val="98"/>
          <w:kern w:val="2"/>
          <w:sz w:val="32"/>
          <w:szCs w:val="20"/>
          <w:highlight w:val="none"/>
          <w:vertAlign w:val="subscript"/>
          <w:lang w:val="en-US" w:eastAsia="zh-CN" w:bidi="ar-SA"/>
        </w:rPr>
        <w:t>1</w:t>
      </w:r>
      <w:r>
        <w:rPr>
          <w:rFonts w:hint="eastAsia" w:ascii="仿宋_GB2312" w:hAnsi="仿宋_GB2312" w:eastAsia="仿宋_GB2312" w:cs="Times New Roman"/>
          <w:color w:val="auto"/>
          <w:w w:val="98"/>
          <w:kern w:val="2"/>
          <w:sz w:val="32"/>
          <w:szCs w:val="20"/>
          <w:highlight w:val="none"/>
          <w:lang w:val="en-US" w:eastAsia="zh-CN" w:bidi="ar-SA"/>
        </w:rPr>
        <w:t>是一种强致癌性的真菌毒素。食用黄曲霉毒素B</w:t>
      </w:r>
      <w:r>
        <w:rPr>
          <w:rFonts w:hint="eastAsia" w:ascii="仿宋_GB2312" w:hAnsi="仿宋_GB2312" w:eastAsia="仿宋_GB2312" w:cs="Times New Roman"/>
          <w:color w:val="auto"/>
          <w:w w:val="98"/>
          <w:kern w:val="2"/>
          <w:sz w:val="32"/>
          <w:szCs w:val="20"/>
          <w:highlight w:val="none"/>
          <w:vertAlign w:val="subscript"/>
          <w:lang w:val="en-US" w:eastAsia="zh-CN" w:bidi="ar-SA"/>
        </w:rPr>
        <w:t>1</w:t>
      </w:r>
      <w:r>
        <w:rPr>
          <w:rFonts w:hint="eastAsia" w:ascii="仿宋_GB2312" w:hAnsi="仿宋_GB2312" w:eastAsia="仿宋_GB2312" w:cs="Times New Roman"/>
          <w:color w:val="auto"/>
          <w:w w:val="98"/>
          <w:kern w:val="2"/>
          <w:sz w:val="32"/>
          <w:szCs w:val="20"/>
          <w:highlight w:val="none"/>
          <w:lang w:val="en-US" w:eastAsia="zh-CN" w:bidi="ar-SA"/>
        </w:rPr>
        <w:t>超标的食品，可能对肝脏造成损害。《食品安全国家标准 食品中真菌毒素限量》（GB 2761—2017）中规定，黄曲霉毒素B</w:t>
      </w:r>
      <w:r>
        <w:rPr>
          <w:rFonts w:hint="eastAsia" w:ascii="仿宋_GB2312" w:hAnsi="仿宋_GB2312" w:eastAsia="仿宋_GB2312" w:cs="Times New Roman"/>
          <w:color w:val="auto"/>
          <w:w w:val="98"/>
          <w:kern w:val="2"/>
          <w:sz w:val="32"/>
          <w:szCs w:val="20"/>
          <w:highlight w:val="none"/>
          <w:vertAlign w:val="subscript"/>
          <w:lang w:val="en-US" w:eastAsia="zh-CN" w:bidi="ar-SA"/>
        </w:rPr>
        <w:t>1</w:t>
      </w:r>
      <w:r>
        <w:rPr>
          <w:rFonts w:hint="eastAsia" w:ascii="仿宋_GB2312" w:hAnsi="仿宋_GB2312" w:eastAsia="仿宋_GB2312" w:cs="Times New Roman"/>
          <w:color w:val="auto"/>
          <w:w w:val="98"/>
          <w:kern w:val="2"/>
          <w:sz w:val="32"/>
          <w:szCs w:val="20"/>
          <w:highlight w:val="none"/>
          <w:lang w:val="en-US" w:eastAsia="zh-CN" w:bidi="ar-SA"/>
        </w:rPr>
        <w:t>在花生及其制品中的最大限量值为20μg/kg。花生油中黄曲霉毒素B</w:t>
      </w:r>
      <w:r>
        <w:rPr>
          <w:rFonts w:hint="eastAsia" w:ascii="仿宋_GB2312" w:hAnsi="仿宋_GB2312" w:eastAsia="仿宋_GB2312" w:cs="Times New Roman"/>
          <w:color w:val="auto"/>
          <w:w w:val="98"/>
          <w:kern w:val="2"/>
          <w:sz w:val="32"/>
          <w:szCs w:val="20"/>
          <w:highlight w:val="none"/>
          <w:vertAlign w:val="subscript"/>
          <w:lang w:val="en-US" w:eastAsia="zh-CN" w:bidi="ar-SA"/>
        </w:rPr>
        <w:t>1</w:t>
      </w:r>
      <w:r>
        <w:rPr>
          <w:rFonts w:hint="eastAsia" w:ascii="仿宋_GB2312" w:hAnsi="仿宋_GB2312" w:eastAsia="仿宋_GB2312" w:cs="Times New Roman"/>
          <w:color w:val="auto"/>
          <w:w w:val="98"/>
          <w:kern w:val="2"/>
          <w:sz w:val="32"/>
          <w:szCs w:val="20"/>
          <w:highlight w:val="none"/>
          <w:lang w:val="en-US" w:eastAsia="zh-CN" w:bidi="ar-SA"/>
        </w:rPr>
        <w:t>超标的原因，可能是生产企业使用的原料因储存条件不当产生了黄曲霉毒素B</w:t>
      </w:r>
      <w:r>
        <w:rPr>
          <w:rFonts w:hint="eastAsia" w:ascii="仿宋_GB2312" w:hAnsi="仿宋_GB2312" w:eastAsia="仿宋_GB2312" w:cs="Times New Roman"/>
          <w:color w:val="auto"/>
          <w:w w:val="98"/>
          <w:kern w:val="2"/>
          <w:sz w:val="32"/>
          <w:szCs w:val="20"/>
          <w:highlight w:val="none"/>
          <w:vertAlign w:val="subscript"/>
          <w:lang w:val="en-US" w:eastAsia="zh-CN" w:bidi="ar-SA"/>
        </w:rPr>
        <w:t>1</w:t>
      </w:r>
      <w:r>
        <w:rPr>
          <w:rFonts w:hint="eastAsia" w:ascii="仿宋_GB2312" w:hAnsi="仿宋_GB2312" w:eastAsia="仿宋_GB2312" w:cs="Times New Roman"/>
          <w:color w:val="auto"/>
          <w:w w:val="98"/>
          <w:kern w:val="2"/>
          <w:sz w:val="32"/>
          <w:szCs w:val="20"/>
          <w:highlight w:val="none"/>
          <w:lang w:val="en-US" w:eastAsia="zh-CN" w:bidi="ar-SA"/>
        </w:rPr>
        <w:t>；也可能是生产加工过程中卫生条件控制不严格；还可能与产品包装密封不严、储运条件控制不当等有关。</w:t>
      </w:r>
    </w:p>
    <w:p>
      <w:pPr>
        <w:pStyle w:val="6"/>
        <w:keepNext w:val="0"/>
        <w:keepLines w:val="0"/>
        <w:pageBreakBefore w:val="0"/>
        <w:kinsoku/>
        <w:wordWrap/>
        <w:overflowPunct/>
        <w:topLinePunct w:val="0"/>
        <w:autoSpaceDE/>
        <w:autoSpaceDN/>
        <w:bidi w:val="0"/>
        <w:spacing w:line="540" w:lineRule="exact"/>
        <w:ind w:left="0" w:leftChars="0" w:firstLine="641" w:firstLineChars="204"/>
        <w:textAlignment w:val="auto"/>
        <w:rPr>
          <w:rFonts w:hint="eastAsia" w:ascii="仿宋_GB2312" w:hAnsi="仿宋_GB2312" w:eastAsia="仿宋_GB2312" w:cs="Times New Roman"/>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（六）过氧化值</w:t>
      </w:r>
    </w:p>
    <w:p>
      <w:pPr>
        <w:keepNext w:val="0"/>
        <w:keepLines w:val="0"/>
        <w:widowControl/>
        <w:suppressLineNumbers w:val="0"/>
        <w:wordWrap w:val="0"/>
        <w:ind w:firstLine="626" w:firstLineChars="200"/>
        <w:jc w:val="left"/>
        <w:rPr>
          <w:rFonts w:hint="eastAsia" w:ascii="仿宋_GB2312" w:hAnsi="仿宋_GB2312" w:eastAsia="仿宋_GB2312" w:cs="Times New Roman"/>
          <w:color w:val="auto"/>
          <w:w w:val="98"/>
          <w:kern w:val="2"/>
          <w:sz w:val="32"/>
          <w:szCs w:val="20"/>
          <w:highlight w:val="none"/>
          <w:lang w:val="en-US" w:eastAsia="zh-CN" w:bidi="ar-SA"/>
        </w:rPr>
      </w:pPr>
      <w:r>
        <w:rPr>
          <w:rFonts w:hint="default" w:ascii="仿宋_GB2312" w:hAnsi="仿宋_GB2312" w:eastAsia="仿宋_GB2312" w:cs="Times New Roman"/>
          <w:color w:val="auto"/>
          <w:w w:val="98"/>
          <w:kern w:val="2"/>
          <w:sz w:val="32"/>
          <w:szCs w:val="20"/>
          <w:lang w:val="en-US" w:eastAsia="zh-CN" w:bidi="ar-SA"/>
        </w:rPr>
        <w:t>过氧化值主要反映油脂的被氧化程度，是油脂酸败的早期指标。食用过氧化值超标的食品一般不会对人体健康造成损害，但长期食用严重超标的食品可能导致肠胃不适、腹泻等。《食品安全国家标准 植物油》（GB 2716-2018）中规定，</w:t>
      </w:r>
      <w:r>
        <w:rPr>
          <w:rFonts w:hint="eastAsia" w:ascii="仿宋_GB2312" w:hAnsi="仿宋_GB2312" w:eastAsia="仿宋_GB2312" w:cs="Times New Roman"/>
          <w:color w:val="auto"/>
          <w:w w:val="98"/>
          <w:kern w:val="2"/>
          <w:sz w:val="32"/>
          <w:szCs w:val="20"/>
          <w:highlight w:val="none"/>
          <w:lang w:val="en-US" w:eastAsia="zh-CN" w:bidi="ar-SA"/>
        </w:rPr>
        <w:t>过氧化值在花生油中的最大限量值为0.25g/100g。</w:t>
      </w:r>
      <w:r>
        <w:rPr>
          <w:rFonts w:hint="eastAsia" w:ascii="仿宋_GB2312" w:hAnsi="仿宋_GB2312" w:eastAsia="仿宋_GB2312" w:cs="Times New Roman"/>
          <w:color w:val="auto"/>
          <w:w w:val="98"/>
          <w:kern w:val="2"/>
          <w:sz w:val="32"/>
          <w:szCs w:val="20"/>
          <w:lang w:val="en-US" w:eastAsia="zh-CN" w:bidi="ar-SA"/>
        </w:rPr>
        <w:t>过氧化值超标的原因可能是生产企业使用的原料因储存条件不当或存放过久导致原料中的油脂发生氧化；也可能是生产加工过程中操作工艺控制不当；还可能与产品包装密封不严、储运条件控制不当等有关。</w:t>
      </w:r>
    </w:p>
    <w:p>
      <w:pPr>
        <w:pStyle w:val="6"/>
        <w:keepNext w:val="0"/>
        <w:keepLines w:val="0"/>
        <w:pageBreakBefore w:val="0"/>
        <w:kinsoku/>
        <w:wordWrap/>
        <w:overflowPunct/>
        <w:topLinePunct w:val="0"/>
        <w:autoSpaceDE/>
        <w:autoSpaceDN/>
        <w:bidi w:val="0"/>
        <w:spacing w:line="540" w:lineRule="exact"/>
        <w:ind w:left="0" w:leftChars="0" w:firstLine="641" w:firstLineChars="204"/>
        <w:textAlignment w:val="auto"/>
        <w:rPr>
          <w:rFonts w:hint="eastAsia" w:ascii="仿宋_GB2312" w:hAnsi="仿宋_GB2312" w:eastAsia="仿宋_GB2312" w:cs="Times New Roman"/>
          <w:b/>
          <w:bCs/>
          <w:color w:val="auto"/>
          <w:w w:val="98"/>
          <w:kern w:val="2"/>
          <w:sz w:val="32"/>
          <w:szCs w:val="20"/>
          <w:lang w:val="en-US" w:eastAsia="zh-CN" w:bidi="ar-SA"/>
        </w:rPr>
      </w:pPr>
      <w:r>
        <w:rPr>
          <w:rFonts w:hint="eastAsia" w:ascii="仿宋_GB2312" w:hAnsi="仿宋_GB2312" w:eastAsia="仿宋_GB2312" w:cs="Times New Roman"/>
          <w:b/>
          <w:bCs/>
          <w:color w:val="auto"/>
          <w:w w:val="98"/>
          <w:kern w:val="2"/>
          <w:sz w:val="32"/>
          <w:szCs w:val="20"/>
          <w:lang w:val="en-US" w:eastAsia="zh-CN" w:bidi="ar-SA"/>
        </w:rPr>
        <w:t>（七）菌落总数</w:t>
      </w:r>
    </w:p>
    <w:p>
      <w:pPr>
        <w:keepNext w:val="0"/>
        <w:keepLines w:val="0"/>
        <w:widowControl/>
        <w:suppressLineNumbers w:val="0"/>
        <w:wordWrap w:val="0"/>
        <w:ind w:firstLine="626" w:firstLineChars="200"/>
        <w:jc w:val="left"/>
        <w:rPr>
          <w:rFonts w:hint="default" w:ascii="仿宋_GB2312" w:hAnsi="仿宋_GB2312" w:eastAsia="仿宋_GB2312" w:cs="Times New Roman"/>
          <w:color w:val="auto"/>
          <w:w w:val="98"/>
          <w:kern w:val="2"/>
          <w:sz w:val="32"/>
          <w:szCs w:val="20"/>
          <w:lang w:val="en-US" w:eastAsia="zh-CN" w:bidi="ar-SA"/>
        </w:rPr>
      </w:pPr>
      <w:r>
        <w:rPr>
          <w:rFonts w:hint="eastAsia" w:ascii="仿宋_GB2312" w:hAnsi="仿宋_GB2312" w:eastAsia="仿宋_GB2312" w:cs="Times New Roman"/>
          <w:color w:val="auto"/>
          <w:w w:val="98"/>
          <w:kern w:val="2"/>
          <w:sz w:val="32"/>
          <w:szCs w:val="20"/>
          <w:lang w:val="en-US" w:eastAsia="zh-CN" w:bidi="ar-SA"/>
        </w:rPr>
        <w:t>菌落总数是指示性微生物指标，并非致病菌指标，主要用来评价食品清洁度，反映食品在生产过程中是否符合卫生要求。《食品安全国家标准 膨化食品》（GB 17401—2014）中规定，膨化食品同一批次产品5个样品的菌落总数检测结果均不得超过10</w:t>
      </w:r>
      <w:r>
        <w:rPr>
          <w:rFonts w:hint="eastAsia" w:ascii="仿宋_GB2312" w:hAnsi="仿宋_GB2312" w:eastAsia="仿宋_GB2312" w:cs="Times New Roman"/>
          <w:color w:val="auto"/>
          <w:w w:val="98"/>
          <w:kern w:val="2"/>
          <w:sz w:val="32"/>
          <w:szCs w:val="20"/>
          <w:vertAlign w:val="superscript"/>
          <w:lang w:val="en-US" w:eastAsia="zh-CN" w:bidi="ar-SA"/>
        </w:rPr>
        <w:t>5</w:t>
      </w:r>
      <w:r>
        <w:rPr>
          <w:rFonts w:hint="eastAsia" w:ascii="仿宋_GB2312" w:hAnsi="仿宋_GB2312" w:eastAsia="仿宋_GB2312" w:cs="Times New Roman"/>
          <w:color w:val="auto"/>
          <w:w w:val="98"/>
          <w:kern w:val="2"/>
          <w:sz w:val="32"/>
          <w:szCs w:val="20"/>
          <w:lang w:val="en-US" w:eastAsia="zh-CN" w:bidi="ar-SA"/>
        </w:rPr>
        <w:t>CFU/g，且最多允许2个样品的检测结果超过10</w:t>
      </w:r>
      <w:r>
        <w:rPr>
          <w:rFonts w:hint="eastAsia" w:ascii="仿宋_GB2312" w:hAnsi="仿宋_GB2312" w:eastAsia="仿宋_GB2312" w:cs="Times New Roman"/>
          <w:color w:val="auto"/>
          <w:w w:val="98"/>
          <w:kern w:val="2"/>
          <w:sz w:val="32"/>
          <w:szCs w:val="20"/>
          <w:vertAlign w:val="superscript"/>
          <w:lang w:val="en-US" w:eastAsia="zh-CN" w:bidi="ar-SA"/>
        </w:rPr>
        <w:t>4</w:t>
      </w:r>
      <w:r>
        <w:rPr>
          <w:rFonts w:hint="eastAsia" w:ascii="仿宋_GB2312" w:hAnsi="仿宋_GB2312" w:eastAsia="仿宋_GB2312" w:cs="Times New Roman"/>
          <w:color w:val="auto"/>
          <w:w w:val="98"/>
          <w:kern w:val="2"/>
          <w:sz w:val="32"/>
          <w:szCs w:val="20"/>
          <w:lang w:val="en-US" w:eastAsia="zh-CN" w:bidi="ar-SA"/>
        </w:rPr>
        <w:t>CFU/g；《食品安全国家标准 蜜饯》（GB 14884—2016）中规定，蜜饯中同一批次产品5个样品的菌落总数检测结果均不得超过10</w:t>
      </w:r>
      <w:r>
        <w:rPr>
          <w:rFonts w:hint="eastAsia" w:ascii="仿宋_GB2312" w:hAnsi="仿宋_GB2312" w:eastAsia="仿宋_GB2312" w:cs="Times New Roman"/>
          <w:color w:val="auto"/>
          <w:w w:val="98"/>
          <w:kern w:val="2"/>
          <w:sz w:val="32"/>
          <w:szCs w:val="20"/>
          <w:vertAlign w:val="superscript"/>
          <w:lang w:val="en-US" w:eastAsia="zh-CN" w:bidi="ar-SA"/>
        </w:rPr>
        <w:t>4</w:t>
      </w:r>
      <w:r>
        <w:rPr>
          <w:rFonts w:hint="eastAsia" w:ascii="仿宋_GB2312" w:hAnsi="仿宋_GB2312" w:eastAsia="仿宋_GB2312" w:cs="Times New Roman"/>
          <w:color w:val="auto"/>
          <w:w w:val="98"/>
          <w:kern w:val="2"/>
          <w:sz w:val="32"/>
          <w:szCs w:val="20"/>
          <w:lang w:val="en-US" w:eastAsia="zh-CN" w:bidi="ar-SA"/>
        </w:rPr>
        <w:t>CFU/g，且最多允许2个样品的检测结果超过10</w:t>
      </w:r>
      <w:r>
        <w:rPr>
          <w:rFonts w:hint="eastAsia" w:ascii="仿宋_GB2312" w:hAnsi="仿宋_GB2312" w:eastAsia="仿宋_GB2312" w:cs="Times New Roman"/>
          <w:color w:val="auto"/>
          <w:w w:val="98"/>
          <w:kern w:val="2"/>
          <w:sz w:val="32"/>
          <w:szCs w:val="20"/>
          <w:vertAlign w:val="superscript"/>
          <w:lang w:val="en-US" w:eastAsia="zh-CN" w:bidi="ar-SA"/>
        </w:rPr>
        <w:t>3</w:t>
      </w:r>
      <w:r>
        <w:rPr>
          <w:rFonts w:hint="eastAsia" w:ascii="仿宋_GB2312" w:hAnsi="仿宋_GB2312" w:eastAsia="仿宋_GB2312" w:cs="Times New Roman"/>
          <w:color w:val="auto"/>
          <w:w w:val="98"/>
          <w:kern w:val="2"/>
          <w:sz w:val="32"/>
          <w:szCs w:val="20"/>
          <w:lang w:val="en-US" w:eastAsia="zh-CN" w:bidi="ar-SA"/>
        </w:rPr>
        <w:t>CFU/g。菌落总数超标可能是个别企业所使用的原辅料初始菌数较高，又未按要求严格控制生产加工过程的卫生条件，或者包装容器清洗消毒不到位，还有可能与产品包装密封不严、储运条件控制不当等有关。</w:t>
      </w:r>
    </w:p>
    <w:sectPr>
      <w:pgSz w:w="11906" w:h="16838"/>
      <w:pgMar w:top="1984" w:right="1474" w:bottom="164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ZDY4Yzg5YTBjNTM1ZWI4YzA1ODQzYTk0MjIxOTQifQ=="/>
  </w:docVars>
  <w:rsids>
    <w:rsidRoot w:val="00000000"/>
    <w:rsid w:val="00014C9C"/>
    <w:rsid w:val="00844285"/>
    <w:rsid w:val="00A0031C"/>
    <w:rsid w:val="01086C64"/>
    <w:rsid w:val="013D4B60"/>
    <w:rsid w:val="01910A08"/>
    <w:rsid w:val="01CF1F27"/>
    <w:rsid w:val="023567F6"/>
    <w:rsid w:val="024A6667"/>
    <w:rsid w:val="031511C4"/>
    <w:rsid w:val="032A0A86"/>
    <w:rsid w:val="03C064E2"/>
    <w:rsid w:val="03FB4CD7"/>
    <w:rsid w:val="03FF434E"/>
    <w:rsid w:val="041B1A3F"/>
    <w:rsid w:val="04446205"/>
    <w:rsid w:val="04784101"/>
    <w:rsid w:val="048B3E34"/>
    <w:rsid w:val="04A24CDA"/>
    <w:rsid w:val="04DD5D12"/>
    <w:rsid w:val="04E15802"/>
    <w:rsid w:val="05212B27"/>
    <w:rsid w:val="05810D93"/>
    <w:rsid w:val="05C87B03"/>
    <w:rsid w:val="05D11D1B"/>
    <w:rsid w:val="05DE1F43"/>
    <w:rsid w:val="066F6E3E"/>
    <w:rsid w:val="069114AA"/>
    <w:rsid w:val="06C118B6"/>
    <w:rsid w:val="06E4088A"/>
    <w:rsid w:val="07007430"/>
    <w:rsid w:val="07520C39"/>
    <w:rsid w:val="077566D6"/>
    <w:rsid w:val="079B25E0"/>
    <w:rsid w:val="079D726B"/>
    <w:rsid w:val="08A70B11"/>
    <w:rsid w:val="08DB07BA"/>
    <w:rsid w:val="08E229AA"/>
    <w:rsid w:val="08FD45D2"/>
    <w:rsid w:val="092D4DF7"/>
    <w:rsid w:val="09B50C68"/>
    <w:rsid w:val="09CF0DAD"/>
    <w:rsid w:val="09D04097"/>
    <w:rsid w:val="09FC30DE"/>
    <w:rsid w:val="0A252635"/>
    <w:rsid w:val="0A2543E3"/>
    <w:rsid w:val="0A4B0A34"/>
    <w:rsid w:val="0A9D041D"/>
    <w:rsid w:val="0ADE1C87"/>
    <w:rsid w:val="0AE52434"/>
    <w:rsid w:val="0AEB62EA"/>
    <w:rsid w:val="0AF41B2D"/>
    <w:rsid w:val="0B75579F"/>
    <w:rsid w:val="0BAC65DE"/>
    <w:rsid w:val="0BB77D4C"/>
    <w:rsid w:val="0BF3436E"/>
    <w:rsid w:val="0C440FE1"/>
    <w:rsid w:val="0C4502EF"/>
    <w:rsid w:val="0C7D7364"/>
    <w:rsid w:val="0C9870EE"/>
    <w:rsid w:val="0CD12600"/>
    <w:rsid w:val="0D505C1B"/>
    <w:rsid w:val="0DA87064"/>
    <w:rsid w:val="0DB2185C"/>
    <w:rsid w:val="0E0B7D94"/>
    <w:rsid w:val="0E110CC7"/>
    <w:rsid w:val="0E444E7A"/>
    <w:rsid w:val="0E9953A0"/>
    <w:rsid w:val="0EC22EC4"/>
    <w:rsid w:val="0ECC307F"/>
    <w:rsid w:val="0F242EBB"/>
    <w:rsid w:val="0FFA7511"/>
    <w:rsid w:val="10F44B0F"/>
    <w:rsid w:val="117619C8"/>
    <w:rsid w:val="11A025A1"/>
    <w:rsid w:val="11B12702"/>
    <w:rsid w:val="11CA30DA"/>
    <w:rsid w:val="11D741E0"/>
    <w:rsid w:val="12573966"/>
    <w:rsid w:val="125C13A6"/>
    <w:rsid w:val="126006AE"/>
    <w:rsid w:val="126A21E7"/>
    <w:rsid w:val="12863075"/>
    <w:rsid w:val="12B36F26"/>
    <w:rsid w:val="12CF1390"/>
    <w:rsid w:val="12E0534B"/>
    <w:rsid w:val="13760E51"/>
    <w:rsid w:val="1399374C"/>
    <w:rsid w:val="13A22600"/>
    <w:rsid w:val="13EE60D1"/>
    <w:rsid w:val="14164D9C"/>
    <w:rsid w:val="14245BF6"/>
    <w:rsid w:val="1432607A"/>
    <w:rsid w:val="143F60A1"/>
    <w:rsid w:val="14DF3E48"/>
    <w:rsid w:val="14EC0D54"/>
    <w:rsid w:val="152C0D1B"/>
    <w:rsid w:val="159D39C7"/>
    <w:rsid w:val="16CA259A"/>
    <w:rsid w:val="173A4A88"/>
    <w:rsid w:val="174F6F43"/>
    <w:rsid w:val="17571D9C"/>
    <w:rsid w:val="17D95D9B"/>
    <w:rsid w:val="18824A45"/>
    <w:rsid w:val="189F1804"/>
    <w:rsid w:val="18AD3F21"/>
    <w:rsid w:val="18B65D95"/>
    <w:rsid w:val="190F3B53"/>
    <w:rsid w:val="19362169"/>
    <w:rsid w:val="1B09565B"/>
    <w:rsid w:val="1B610FF3"/>
    <w:rsid w:val="1B8756CA"/>
    <w:rsid w:val="1B965141"/>
    <w:rsid w:val="1BA50C53"/>
    <w:rsid w:val="1BD3240C"/>
    <w:rsid w:val="1BDC68CC"/>
    <w:rsid w:val="1BE51C24"/>
    <w:rsid w:val="1C12289A"/>
    <w:rsid w:val="1C236240"/>
    <w:rsid w:val="1C7505F7"/>
    <w:rsid w:val="1CD43891"/>
    <w:rsid w:val="1CE26164"/>
    <w:rsid w:val="1D6F5C49"/>
    <w:rsid w:val="1DAE2FF5"/>
    <w:rsid w:val="1DBB5AD7"/>
    <w:rsid w:val="1DD2641B"/>
    <w:rsid w:val="1E087E4C"/>
    <w:rsid w:val="1E0A7720"/>
    <w:rsid w:val="1E560BB7"/>
    <w:rsid w:val="1E6C4F36"/>
    <w:rsid w:val="1E9811D0"/>
    <w:rsid w:val="1F6E3CDF"/>
    <w:rsid w:val="1FCF29CF"/>
    <w:rsid w:val="1FD66684"/>
    <w:rsid w:val="20032679"/>
    <w:rsid w:val="202658E7"/>
    <w:rsid w:val="202B1BD0"/>
    <w:rsid w:val="20457135"/>
    <w:rsid w:val="20AD6650"/>
    <w:rsid w:val="20AF2801"/>
    <w:rsid w:val="20B47E17"/>
    <w:rsid w:val="20E701EC"/>
    <w:rsid w:val="21467326"/>
    <w:rsid w:val="21703D3E"/>
    <w:rsid w:val="21BF3797"/>
    <w:rsid w:val="21C5052E"/>
    <w:rsid w:val="221B63A0"/>
    <w:rsid w:val="223A7870"/>
    <w:rsid w:val="224A0A33"/>
    <w:rsid w:val="229E48DB"/>
    <w:rsid w:val="22DF73CD"/>
    <w:rsid w:val="23384D2F"/>
    <w:rsid w:val="23F12437"/>
    <w:rsid w:val="245C5490"/>
    <w:rsid w:val="24853FA4"/>
    <w:rsid w:val="24981EA8"/>
    <w:rsid w:val="24DB3599"/>
    <w:rsid w:val="250C6474"/>
    <w:rsid w:val="250F1AC0"/>
    <w:rsid w:val="251F7F55"/>
    <w:rsid w:val="253B638E"/>
    <w:rsid w:val="2593196A"/>
    <w:rsid w:val="26276084"/>
    <w:rsid w:val="262E41C8"/>
    <w:rsid w:val="266C2C2D"/>
    <w:rsid w:val="26DB3FC4"/>
    <w:rsid w:val="27533EE6"/>
    <w:rsid w:val="275D49AC"/>
    <w:rsid w:val="27C608B1"/>
    <w:rsid w:val="27CA2CAA"/>
    <w:rsid w:val="27E234BC"/>
    <w:rsid w:val="27F51441"/>
    <w:rsid w:val="283209F9"/>
    <w:rsid w:val="283244AF"/>
    <w:rsid w:val="283A32F8"/>
    <w:rsid w:val="28445F24"/>
    <w:rsid w:val="28AD5878"/>
    <w:rsid w:val="28B27332"/>
    <w:rsid w:val="28C64B8B"/>
    <w:rsid w:val="291E0523"/>
    <w:rsid w:val="292D24B6"/>
    <w:rsid w:val="298505A2"/>
    <w:rsid w:val="298C7B83"/>
    <w:rsid w:val="29FB0865"/>
    <w:rsid w:val="2A036979"/>
    <w:rsid w:val="2A1A0CEB"/>
    <w:rsid w:val="2A400977"/>
    <w:rsid w:val="2A467D32"/>
    <w:rsid w:val="2A5E3ED8"/>
    <w:rsid w:val="2A605BB0"/>
    <w:rsid w:val="2A77438F"/>
    <w:rsid w:val="2AC450FA"/>
    <w:rsid w:val="2B211F52"/>
    <w:rsid w:val="2B920D55"/>
    <w:rsid w:val="2B936C47"/>
    <w:rsid w:val="2BA74800"/>
    <w:rsid w:val="2C3D0DA3"/>
    <w:rsid w:val="2CAF4B9B"/>
    <w:rsid w:val="2CFC7029"/>
    <w:rsid w:val="2D0A773C"/>
    <w:rsid w:val="2D256324"/>
    <w:rsid w:val="2D5C0389"/>
    <w:rsid w:val="2D7D5637"/>
    <w:rsid w:val="2DB96A6D"/>
    <w:rsid w:val="2EE432E0"/>
    <w:rsid w:val="2F5051AF"/>
    <w:rsid w:val="2F546A4D"/>
    <w:rsid w:val="2FAD0853"/>
    <w:rsid w:val="2FD7142C"/>
    <w:rsid w:val="30122595"/>
    <w:rsid w:val="307E7ED7"/>
    <w:rsid w:val="30830840"/>
    <w:rsid w:val="31012C04"/>
    <w:rsid w:val="31292CB0"/>
    <w:rsid w:val="315076E8"/>
    <w:rsid w:val="315216B2"/>
    <w:rsid w:val="316F5DC0"/>
    <w:rsid w:val="31AD5366"/>
    <w:rsid w:val="31C85368"/>
    <w:rsid w:val="31DD71CE"/>
    <w:rsid w:val="33174961"/>
    <w:rsid w:val="33353039"/>
    <w:rsid w:val="3344327C"/>
    <w:rsid w:val="33C10429"/>
    <w:rsid w:val="33F9763E"/>
    <w:rsid w:val="343926B5"/>
    <w:rsid w:val="34587B1D"/>
    <w:rsid w:val="34923248"/>
    <w:rsid w:val="34B8182C"/>
    <w:rsid w:val="34C5219B"/>
    <w:rsid w:val="34DC09D9"/>
    <w:rsid w:val="351673D3"/>
    <w:rsid w:val="3590319C"/>
    <w:rsid w:val="35C366DA"/>
    <w:rsid w:val="35D75AF0"/>
    <w:rsid w:val="35EA1273"/>
    <w:rsid w:val="362B4280"/>
    <w:rsid w:val="363F316A"/>
    <w:rsid w:val="368C11C2"/>
    <w:rsid w:val="371A07CC"/>
    <w:rsid w:val="373F5974"/>
    <w:rsid w:val="37890A28"/>
    <w:rsid w:val="379B110E"/>
    <w:rsid w:val="37AC319E"/>
    <w:rsid w:val="37EB6CD4"/>
    <w:rsid w:val="381F7BCF"/>
    <w:rsid w:val="38726196"/>
    <w:rsid w:val="38AF2F46"/>
    <w:rsid w:val="38F848ED"/>
    <w:rsid w:val="38F90665"/>
    <w:rsid w:val="39A94297"/>
    <w:rsid w:val="39DC5FBD"/>
    <w:rsid w:val="39E6508D"/>
    <w:rsid w:val="3A3E4582"/>
    <w:rsid w:val="3A402444"/>
    <w:rsid w:val="3AC41E48"/>
    <w:rsid w:val="3AE07F36"/>
    <w:rsid w:val="3AE710BD"/>
    <w:rsid w:val="3B230AF4"/>
    <w:rsid w:val="3B4848E9"/>
    <w:rsid w:val="3B81506E"/>
    <w:rsid w:val="3B88367D"/>
    <w:rsid w:val="3BEA27FA"/>
    <w:rsid w:val="3C1852A6"/>
    <w:rsid w:val="3C495460"/>
    <w:rsid w:val="3C8A7F52"/>
    <w:rsid w:val="3CB36E5B"/>
    <w:rsid w:val="3D474095"/>
    <w:rsid w:val="3D507ADA"/>
    <w:rsid w:val="3D7604D6"/>
    <w:rsid w:val="3DA711B3"/>
    <w:rsid w:val="3DB427FD"/>
    <w:rsid w:val="3DF57A55"/>
    <w:rsid w:val="3E03620E"/>
    <w:rsid w:val="3E2D5039"/>
    <w:rsid w:val="3E894239"/>
    <w:rsid w:val="3E8D1F7B"/>
    <w:rsid w:val="3EC15781"/>
    <w:rsid w:val="3F56236D"/>
    <w:rsid w:val="3F6A406B"/>
    <w:rsid w:val="3F78523B"/>
    <w:rsid w:val="3FEB29BB"/>
    <w:rsid w:val="3FF108B6"/>
    <w:rsid w:val="40780E15"/>
    <w:rsid w:val="407A3CE0"/>
    <w:rsid w:val="407A71DE"/>
    <w:rsid w:val="40C17CBA"/>
    <w:rsid w:val="40C63F6B"/>
    <w:rsid w:val="40C652D1"/>
    <w:rsid w:val="40CD2B03"/>
    <w:rsid w:val="40DC2D46"/>
    <w:rsid w:val="41151DB4"/>
    <w:rsid w:val="41700B79"/>
    <w:rsid w:val="41DA54D8"/>
    <w:rsid w:val="41E217AB"/>
    <w:rsid w:val="422B7AE1"/>
    <w:rsid w:val="42A17DA3"/>
    <w:rsid w:val="42D27F5D"/>
    <w:rsid w:val="42E83C24"/>
    <w:rsid w:val="42F71332"/>
    <w:rsid w:val="4309522B"/>
    <w:rsid w:val="431B4E6A"/>
    <w:rsid w:val="43741014"/>
    <w:rsid w:val="43835F5C"/>
    <w:rsid w:val="43C57AC2"/>
    <w:rsid w:val="43CF6B92"/>
    <w:rsid w:val="44007AD7"/>
    <w:rsid w:val="44BA339E"/>
    <w:rsid w:val="44ED3F1C"/>
    <w:rsid w:val="45131232"/>
    <w:rsid w:val="452A17DC"/>
    <w:rsid w:val="454667B6"/>
    <w:rsid w:val="456D788A"/>
    <w:rsid w:val="458C448F"/>
    <w:rsid w:val="45961716"/>
    <w:rsid w:val="45CA5863"/>
    <w:rsid w:val="462705C0"/>
    <w:rsid w:val="46405B25"/>
    <w:rsid w:val="46517AE3"/>
    <w:rsid w:val="466C06C8"/>
    <w:rsid w:val="46A27E61"/>
    <w:rsid w:val="46E2098A"/>
    <w:rsid w:val="477F61D9"/>
    <w:rsid w:val="47AA594C"/>
    <w:rsid w:val="47D93B3C"/>
    <w:rsid w:val="47E23F21"/>
    <w:rsid w:val="48343468"/>
    <w:rsid w:val="48A979B2"/>
    <w:rsid w:val="48B06F92"/>
    <w:rsid w:val="497C50C6"/>
    <w:rsid w:val="49FF5A15"/>
    <w:rsid w:val="4A4F27DB"/>
    <w:rsid w:val="4A58168F"/>
    <w:rsid w:val="4A7810B9"/>
    <w:rsid w:val="4A8F4985"/>
    <w:rsid w:val="4A934E3E"/>
    <w:rsid w:val="4B35377F"/>
    <w:rsid w:val="4B38326F"/>
    <w:rsid w:val="4B86447A"/>
    <w:rsid w:val="4BBF74EC"/>
    <w:rsid w:val="4BF54CBC"/>
    <w:rsid w:val="4BF74ED8"/>
    <w:rsid w:val="4CBD1D79"/>
    <w:rsid w:val="4D0E24D9"/>
    <w:rsid w:val="4D7C3876"/>
    <w:rsid w:val="4DB03590"/>
    <w:rsid w:val="4DE44FE8"/>
    <w:rsid w:val="4E1D5B7A"/>
    <w:rsid w:val="4E217FEA"/>
    <w:rsid w:val="4E515B58"/>
    <w:rsid w:val="4E5A52AA"/>
    <w:rsid w:val="4E8C5B16"/>
    <w:rsid w:val="4ED02686"/>
    <w:rsid w:val="4F196F13"/>
    <w:rsid w:val="4F2D310F"/>
    <w:rsid w:val="4F334479"/>
    <w:rsid w:val="4F3F40FA"/>
    <w:rsid w:val="4F6A0D1A"/>
    <w:rsid w:val="4F995545"/>
    <w:rsid w:val="4FB26781"/>
    <w:rsid w:val="4FEB08B0"/>
    <w:rsid w:val="50242014"/>
    <w:rsid w:val="503F1898"/>
    <w:rsid w:val="50447FC0"/>
    <w:rsid w:val="50485F71"/>
    <w:rsid w:val="504A1A7A"/>
    <w:rsid w:val="504D50C7"/>
    <w:rsid w:val="50890FCE"/>
    <w:rsid w:val="509727E6"/>
    <w:rsid w:val="50A70C7B"/>
    <w:rsid w:val="50BE5FC4"/>
    <w:rsid w:val="50D37CC2"/>
    <w:rsid w:val="50D52B97"/>
    <w:rsid w:val="50E7376D"/>
    <w:rsid w:val="513444D8"/>
    <w:rsid w:val="5166169E"/>
    <w:rsid w:val="51750D79"/>
    <w:rsid w:val="51FF6894"/>
    <w:rsid w:val="527A5F1B"/>
    <w:rsid w:val="52B17671"/>
    <w:rsid w:val="53775A75"/>
    <w:rsid w:val="539B083F"/>
    <w:rsid w:val="54DE6B11"/>
    <w:rsid w:val="55085C12"/>
    <w:rsid w:val="55110100"/>
    <w:rsid w:val="554967A4"/>
    <w:rsid w:val="55A35789"/>
    <w:rsid w:val="55C01AA6"/>
    <w:rsid w:val="55EB785C"/>
    <w:rsid w:val="563D3E2F"/>
    <w:rsid w:val="56586B46"/>
    <w:rsid w:val="566328EC"/>
    <w:rsid w:val="56764C4B"/>
    <w:rsid w:val="56BD287A"/>
    <w:rsid w:val="574D2BF4"/>
    <w:rsid w:val="57A27CE8"/>
    <w:rsid w:val="58386E8E"/>
    <w:rsid w:val="587716F7"/>
    <w:rsid w:val="58883419"/>
    <w:rsid w:val="589E4491"/>
    <w:rsid w:val="58C90D69"/>
    <w:rsid w:val="58F72073"/>
    <w:rsid w:val="59036C6A"/>
    <w:rsid w:val="590B5B1F"/>
    <w:rsid w:val="59AF294E"/>
    <w:rsid w:val="5A272E2C"/>
    <w:rsid w:val="5A350152"/>
    <w:rsid w:val="5ADE798F"/>
    <w:rsid w:val="5B661732"/>
    <w:rsid w:val="5BC25416"/>
    <w:rsid w:val="5BC30933"/>
    <w:rsid w:val="5C3E620B"/>
    <w:rsid w:val="5C910A31"/>
    <w:rsid w:val="5C9F6CAA"/>
    <w:rsid w:val="5D0134C1"/>
    <w:rsid w:val="5D2562F9"/>
    <w:rsid w:val="5DF11787"/>
    <w:rsid w:val="5E007C1C"/>
    <w:rsid w:val="5E0F60B1"/>
    <w:rsid w:val="5E527E8C"/>
    <w:rsid w:val="5E5B4E53"/>
    <w:rsid w:val="5E8E6FD6"/>
    <w:rsid w:val="5EEE216B"/>
    <w:rsid w:val="5F061262"/>
    <w:rsid w:val="5F1D2E7B"/>
    <w:rsid w:val="5F2C67EF"/>
    <w:rsid w:val="5F5D4BFA"/>
    <w:rsid w:val="5FB567E4"/>
    <w:rsid w:val="5FC66C44"/>
    <w:rsid w:val="60172FFB"/>
    <w:rsid w:val="610A59A6"/>
    <w:rsid w:val="611F03B9"/>
    <w:rsid w:val="61860438"/>
    <w:rsid w:val="61B80F7A"/>
    <w:rsid w:val="61D059BD"/>
    <w:rsid w:val="61E214E9"/>
    <w:rsid w:val="620F60CA"/>
    <w:rsid w:val="62586279"/>
    <w:rsid w:val="626D15F8"/>
    <w:rsid w:val="62854B94"/>
    <w:rsid w:val="62A50D92"/>
    <w:rsid w:val="62F45876"/>
    <w:rsid w:val="634F611A"/>
    <w:rsid w:val="63C427FD"/>
    <w:rsid w:val="63DA2CBD"/>
    <w:rsid w:val="644F0FB6"/>
    <w:rsid w:val="64610CE9"/>
    <w:rsid w:val="64BA51BE"/>
    <w:rsid w:val="64CA4AE0"/>
    <w:rsid w:val="64F13154"/>
    <w:rsid w:val="65075D34"/>
    <w:rsid w:val="650C50F9"/>
    <w:rsid w:val="65257F68"/>
    <w:rsid w:val="6531219C"/>
    <w:rsid w:val="65403F01"/>
    <w:rsid w:val="65595543"/>
    <w:rsid w:val="658D448B"/>
    <w:rsid w:val="65C15EE3"/>
    <w:rsid w:val="65CE23AE"/>
    <w:rsid w:val="66080F1E"/>
    <w:rsid w:val="66116BAD"/>
    <w:rsid w:val="66214BD4"/>
    <w:rsid w:val="6659436D"/>
    <w:rsid w:val="66DB2FD4"/>
    <w:rsid w:val="66ED2D08"/>
    <w:rsid w:val="66F26570"/>
    <w:rsid w:val="66FB5425"/>
    <w:rsid w:val="670F7122"/>
    <w:rsid w:val="67472418"/>
    <w:rsid w:val="67843D3C"/>
    <w:rsid w:val="67BC2E06"/>
    <w:rsid w:val="67C43A69"/>
    <w:rsid w:val="67D34322"/>
    <w:rsid w:val="68010AE0"/>
    <w:rsid w:val="686A2E17"/>
    <w:rsid w:val="689735C0"/>
    <w:rsid w:val="694C5701"/>
    <w:rsid w:val="69561038"/>
    <w:rsid w:val="69576763"/>
    <w:rsid w:val="69671655"/>
    <w:rsid w:val="697A410B"/>
    <w:rsid w:val="69A13E27"/>
    <w:rsid w:val="69AD2C9D"/>
    <w:rsid w:val="69FB28AF"/>
    <w:rsid w:val="6A2625BF"/>
    <w:rsid w:val="6A6634FD"/>
    <w:rsid w:val="6AE126C6"/>
    <w:rsid w:val="6AF1726A"/>
    <w:rsid w:val="6B0A032C"/>
    <w:rsid w:val="6B376C47"/>
    <w:rsid w:val="6B39476E"/>
    <w:rsid w:val="6C236E29"/>
    <w:rsid w:val="6C7D068A"/>
    <w:rsid w:val="6C8666CB"/>
    <w:rsid w:val="6CE7260C"/>
    <w:rsid w:val="6D317DF2"/>
    <w:rsid w:val="6D613EE1"/>
    <w:rsid w:val="6E056B89"/>
    <w:rsid w:val="6E283171"/>
    <w:rsid w:val="6E4C7119"/>
    <w:rsid w:val="6E7A30D3"/>
    <w:rsid w:val="6F0244CC"/>
    <w:rsid w:val="6F215C44"/>
    <w:rsid w:val="6F435BBB"/>
    <w:rsid w:val="6F806E0F"/>
    <w:rsid w:val="6FF2313D"/>
    <w:rsid w:val="70877D29"/>
    <w:rsid w:val="709661BE"/>
    <w:rsid w:val="70BD374B"/>
    <w:rsid w:val="71662034"/>
    <w:rsid w:val="717C2845"/>
    <w:rsid w:val="71CD3E62"/>
    <w:rsid w:val="71F87130"/>
    <w:rsid w:val="724203AC"/>
    <w:rsid w:val="72600832"/>
    <w:rsid w:val="728E7110"/>
    <w:rsid w:val="72D51220"/>
    <w:rsid w:val="72E90827"/>
    <w:rsid w:val="72F316A6"/>
    <w:rsid w:val="731E1289"/>
    <w:rsid w:val="733128BB"/>
    <w:rsid w:val="73ED2599"/>
    <w:rsid w:val="74204A4D"/>
    <w:rsid w:val="7431692A"/>
    <w:rsid w:val="744D3038"/>
    <w:rsid w:val="74732A9E"/>
    <w:rsid w:val="747A5B1A"/>
    <w:rsid w:val="74887696"/>
    <w:rsid w:val="754C32EF"/>
    <w:rsid w:val="75706FDE"/>
    <w:rsid w:val="758F4FC4"/>
    <w:rsid w:val="75CD1995"/>
    <w:rsid w:val="75D94C4A"/>
    <w:rsid w:val="760861AC"/>
    <w:rsid w:val="761738FD"/>
    <w:rsid w:val="7635753F"/>
    <w:rsid w:val="76C770D1"/>
    <w:rsid w:val="76EF5CAD"/>
    <w:rsid w:val="772960B5"/>
    <w:rsid w:val="77D25D2E"/>
    <w:rsid w:val="78402C6D"/>
    <w:rsid w:val="785A1CD5"/>
    <w:rsid w:val="7860158C"/>
    <w:rsid w:val="78964FAD"/>
    <w:rsid w:val="78E026CC"/>
    <w:rsid w:val="795F1843"/>
    <w:rsid w:val="796933E0"/>
    <w:rsid w:val="79A25BD4"/>
    <w:rsid w:val="79E955B1"/>
    <w:rsid w:val="7A13262E"/>
    <w:rsid w:val="7A24440C"/>
    <w:rsid w:val="7AA00365"/>
    <w:rsid w:val="7ACB78B2"/>
    <w:rsid w:val="7B424F78"/>
    <w:rsid w:val="7B5A135B"/>
    <w:rsid w:val="7B7406C4"/>
    <w:rsid w:val="7B7A5656"/>
    <w:rsid w:val="7BC57958"/>
    <w:rsid w:val="7BC938EC"/>
    <w:rsid w:val="7BD8192A"/>
    <w:rsid w:val="7C044924"/>
    <w:rsid w:val="7C1C34E2"/>
    <w:rsid w:val="7C51472B"/>
    <w:rsid w:val="7C6559F4"/>
    <w:rsid w:val="7CA852AF"/>
    <w:rsid w:val="7CAB4D9F"/>
    <w:rsid w:val="7CCC3693"/>
    <w:rsid w:val="7CD223CC"/>
    <w:rsid w:val="7CDB7267"/>
    <w:rsid w:val="7CFC4B9D"/>
    <w:rsid w:val="7D2C4132"/>
    <w:rsid w:val="7D3D00ED"/>
    <w:rsid w:val="7DA0242A"/>
    <w:rsid w:val="7DA168CE"/>
    <w:rsid w:val="7DF74740"/>
    <w:rsid w:val="7DFF53A3"/>
    <w:rsid w:val="7ECD54A1"/>
    <w:rsid w:val="7F4A08A0"/>
    <w:rsid w:val="7F4F5EB6"/>
    <w:rsid w:val="7F582C7C"/>
    <w:rsid w:val="7F587460"/>
    <w:rsid w:val="7F9651F2"/>
    <w:rsid w:val="7F9F508F"/>
    <w:rsid w:val="7FA335D0"/>
    <w:rsid w:val="7FAE7080"/>
    <w:rsid w:val="BF44DA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sz w:val="28"/>
    </w:rPr>
  </w:style>
  <w:style w:type="paragraph" w:styleId="4">
    <w:name w:val="Body Text Indent"/>
    <w:basedOn w:val="1"/>
    <w:qFormat/>
    <w:uiPriority w:val="0"/>
    <w:pPr>
      <w:spacing w:before="120" w:after="120"/>
      <w:ind w:firstLine="480"/>
    </w:pPr>
    <w:rPr>
      <w:rFonts w:ascii="宋体" w:hAnsi="宋体"/>
      <w:sz w:val="24"/>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3"/>
    <w:next w:val="7"/>
    <w:qFormat/>
    <w:uiPriority w:val="0"/>
    <w:pPr>
      <w:widowControl w:val="0"/>
      <w:spacing w:before="260" w:after="120" w:line="415" w:lineRule="auto"/>
      <w:ind w:firstLine="420" w:firstLineChars="100"/>
      <w:jc w:val="both"/>
    </w:pPr>
    <w:rPr>
      <w:rFonts w:ascii="Times New Roman" w:hAnsi="Times New Roman" w:eastAsia="仿宋" w:cs="Times New Roman"/>
      <w:kern w:val="2"/>
      <w:sz w:val="32"/>
      <w:szCs w:val="24"/>
      <w:lang w:val="en-US" w:eastAsia="zh-CN" w:bidi="ar-SA"/>
    </w:rPr>
  </w:style>
  <w:style w:type="paragraph" w:styleId="7">
    <w:name w:val="Body Text First Indent 2"/>
    <w:basedOn w:val="4"/>
    <w:next w:val="6"/>
    <w:qFormat/>
    <w:uiPriority w:val="0"/>
    <w:pPr>
      <w:widowControl w:val="0"/>
      <w:ind w:left="0" w:leftChars="0" w:firstLine="420" w:firstLineChars="200"/>
      <w:jc w:val="both"/>
    </w:pPr>
    <w:rPr>
      <w:rFonts w:ascii="Calibri" w:hAnsi="Calibri" w:eastAsia="仿宋" w:cs="Times New Roman"/>
      <w:kern w:val="2"/>
      <w:sz w:val="32"/>
      <w:szCs w:val="24"/>
      <w:lang w:val="en-US" w:eastAsia="zh-CN" w:bidi="ar-SA"/>
    </w:rPr>
  </w:style>
  <w:style w:type="character" w:styleId="10">
    <w:name w:val="Strong"/>
    <w:basedOn w:val="9"/>
    <w:qFormat/>
    <w:uiPriority w:val="0"/>
    <w:rPr>
      <w:b/>
    </w:rPr>
  </w:style>
  <w:style w:type="paragraph" w:customStyle="1" w:styleId="11">
    <w:name w:val="正文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2">
    <w:name w:val="正文文本 New"/>
    <w:basedOn w:val="13"/>
    <w:qFormat/>
    <w:uiPriority w:val="0"/>
    <w:rPr>
      <w:rFonts w:ascii="Calibri" w:hAnsi="Calibri" w:cs="Calibri"/>
      <w:b/>
      <w:i/>
      <w:iCs/>
      <w:color w:val="000000"/>
      <w:sz w:val="18"/>
      <w:szCs w:val="22"/>
    </w:rPr>
  </w:style>
  <w:style w:type="paragraph" w:customStyle="1" w:styleId="13">
    <w:name w:val="正文 New"/>
    <w:next w:val="1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1691</Words>
  <Characters>1876</Characters>
  <Lines>0</Lines>
  <Paragraphs>0</Paragraphs>
  <TotalTime>0</TotalTime>
  <ScaleCrop>false</ScaleCrop>
  <LinksUpToDate>false</LinksUpToDate>
  <CharactersWithSpaces>1896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2021-11-11T18:43:00Z</dcterms:created>
  <dc:creator>PC-admin</dc:creator>
  <cp:lastModifiedBy>xixixixixi</cp:lastModifiedBy>
  <cp:lastPrinted>2022-06-28T12:15:00Z</cp:lastPrinted>
  <dcterms:modified xsi:type="dcterms:W3CDTF">2022-12-02T10:30:30Z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B8AE24B3B2BB4020ADADE6C5FC640CCC</vt:lpwstr>
  </property>
</Properties>
</file>