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D3DC3">
      <w:pPr>
        <w:pStyle w:val="3"/>
        <w:pageBreakBefore w:val="0"/>
        <w:widowControl/>
        <w:kinsoku/>
        <w:wordWrap/>
        <w:overflowPunct/>
        <w:topLinePunct w:val="0"/>
        <w:autoSpaceDE/>
        <w:autoSpaceDN/>
        <w:bidi w:val="0"/>
        <w:adjustRightInd/>
        <w:snapToGrid/>
        <w:spacing w:before="0" w:after="0" w:line="240" w:lineRule="auto"/>
        <w:ind w:left="0" w:leftChars="0" w:firstLine="0" w:firstLineChars="0"/>
        <w:jc w:val="left"/>
        <w:textAlignment w:val="auto"/>
        <w:rPr>
          <w:rFonts w:hint="default" w:ascii="宋体" w:hAnsi="宋体" w:eastAsia="宋体" w:cs="宋体"/>
          <w:b w:val="0"/>
          <w:bCs w:val="0"/>
          <w:color w:val="auto"/>
          <w:sz w:val="28"/>
          <w:szCs w:val="28"/>
          <w:lang w:val="en-US" w:eastAsia="zh-CN" w:bidi="ar-SA"/>
        </w:rPr>
      </w:pPr>
      <w:r>
        <w:rPr>
          <w:rFonts w:hint="eastAsia" w:ascii="宋体" w:hAnsi="宋体" w:eastAsia="宋体" w:cs="宋体"/>
          <w:b w:val="0"/>
          <w:bCs w:val="0"/>
          <w:color w:val="auto"/>
          <w:sz w:val="28"/>
          <w:szCs w:val="28"/>
          <w:lang w:val="en-US" w:eastAsia="zh-CN" w:bidi="ar-SA"/>
        </w:rPr>
        <w:t>附件4</w:t>
      </w:r>
      <w:bookmarkStart w:id="0" w:name="_GoBack"/>
      <w:bookmarkEnd w:id="0"/>
      <w:r>
        <w:rPr>
          <w:rFonts w:hint="eastAsia" w:ascii="宋体" w:hAnsi="宋体" w:eastAsia="宋体" w:cs="宋体"/>
          <w:b w:val="0"/>
          <w:bCs w:val="0"/>
          <w:color w:val="auto"/>
          <w:sz w:val="28"/>
          <w:szCs w:val="28"/>
          <w:lang w:val="en-US" w:eastAsia="zh-CN" w:bidi="ar-SA"/>
        </w:rPr>
        <w:t>：</w:t>
      </w:r>
    </w:p>
    <w:p w14:paraId="1E8F7FF1">
      <w:pPr>
        <w:pStyle w:val="3"/>
        <w:pageBreakBefore w:val="0"/>
        <w:widowControl/>
        <w:kinsoku/>
        <w:wordWrap/>
        <w:overflowPunct/>
        <w:topLinePunct w:val="0"/>
        <w:autoSpaceDE/>
        <w:autoSpaceDN/>
        <w:bidi w:val="0"/>
        <w:adjustRightInd/>
        <w:snapToGrid/>
        <w:spacing w:before="0" w:after="0" w:line="240" w:lineRule="auto"/>
        <w:ind w:left="0" w:leftChars="0" w:firstLine="0" w:firstLineChars="0"/>
        <w:jc w:val="center"/>
        <w:textAlignment w:val="auto"/>
        <w:rPr>
          <w:rFonts w:hint="eastAsia" w:ascii="宋体" w:hAnsi="宋体" w:eastAsia="宋体" w:cs="宋体"/>
          <w:b/>
          <w:bCs/>
          <w:color w:val="auto"/>
          <w:sz w:val="44"/>
          <w:szCs w:val="44"/>
          <w:lang w:val="en-US" w:eastAsia="en-US" w:bidi="ar-SA"/>
        </w:rPr>
      </w:pPr>
      <w:r>
        <w:rPr>
          <w:rFonts w:hint="eastAsia" w:ascii="宋体" w:hAnsi="宋体" w:eastAsia="宋体" w:cs="宋体"/>
          <w:b/>
          <w:bCs/>
          <w:color w:val="auto"/>
          <w:sz w:val="44"/>
          <w:szCs w:val="44"/>
          <w:lang w:val="en-US" w:eastAsia="en-US" w:bidi="ar-SA"/>
        </w:rPr>
        <w:t>河源市</w:t>
      </w:r>
      <w:r>
        <w:rPr>
          <w:rFonts w:hint="eastAsia" w:ascii="宋体" w:hAnsi="宋体" w:eastAsia="宋体" w:cs="宋体"/>
          <w:b/>
          <w:bCs/>
          <w:color w:val="auto"/>
          <w:sz w:val="44"/>
          <w:szCs w:val="44"/>
          <w:lang w:val="en-US" w:eastAsia="zh-CN" w:bidi="ar-SA"/>
        </w:rPr>
        <w:t>省级</w:t>
      </w:r>
      <w:r>
        <w:rPr>
          <w:rFonts w:hint="eastAsia" w:ascii="宋体" w:hAnsi="宋体" w:eastAsia="宋体" w:cs="宋体"/>
          <w:b/>
          <w:bCs/>
          <w:color w:val="auto"/>
          <w:sz w:val="44"/>
          <w:szCs w:val="44"/>
          <w:lang w:val="en-US" w:eastAsia="en-US" w:bidi="ar-SA"/>
        </w:rPr>
        <w:t>技改专项资金申报事项</w:t>
      </w:r>
    </w:p>
    <w:p w14:paraId="21637F0B">
      <w:pPr>
        <w:pStyle w:val="3"/>
        <w:pageBreakBefore w:val="0"/>
        <w:widowControl/>
        <w:kinsoku/>
        <w:wordWrap/>
        <w:overflowPunct/>
        <w:topLinePunct w:val="0"/>
        <w:autoSpaceDE/>
        <w:autoSpaceDN/>
        <w:bidi w:val="0"/>
        <w:adjustRightInd/>
        <w:snapToGrid/>
        <w:spacing w:before="0" w:after="0" w:line="240" w:lineRule="auto"/>
        <w:ind w:left="0" w:leftChars="0" w:firstLine="0" w:firstLineChars="0"/>
        <w:jc w:val="center"/>
        <w:textAlignment w:val="auto"/>
        <w:rPr>
          <w:rFonts w:hint="eastAsia" w:ascii="宋体" w:hAnsi="宋体" w:eastAsia="宋体" w:cs="宋体"/>
          <w:b/>
          <w:bCs/>
          <w:color w:val="auto"/>
          <w:sz w:val="44"/>
          <w:szCs w:val="44"/>
          <w:lang w:val="en-US" w:eastAsia="en-US" w:bidi="ar-SA"/>
        </w:rPr>
      </w:pPr>
      <w:r>
        <w:rPr>
          <w:rFonts w:hint="eastAsia" w:ascii="宋体" w:hAnsi="宋体" w:eastAsia="宋体" w:cs="宋体"/>
          <w:b/>
          <w:bCs/>
          <w:color w:val="auto"/>
          <w:sz w:val="44"/>
          <w:szCs w:val="44"/>
          <w:lang w:val="en-US" w:eastAsia="en-US" w:bidi="ar-SA"/>
        </w:rPr>
        <w:t>窗口操作指引</w:t>
      </w:r>
    </w:p>
    <w:p w14:paraId="6F56747A">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75F74D2A">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19130EFA">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lang w:val="en-US" w:eastAsia="en-US"/>
        </w:rPr>
      </w:pPr>
      <w:r>
        <w:rPr>
          <w:rFonts w:hint="eastAsia" w:ascii="仿宋" w:hAnsi="仿宋" w:eastAsia="仿宋" w:cs="仿宋"/>
          <w:b/>
          <w:bCs/>
          <w:color w:val="auto"/>
          <w:sz w:val="32"/>
          <w:szCs w:val="32"/>
          <w:lang w:val="en-US" w:eastAsia="en-US"/>
        </w:rPr>
        <w:t>适用对象：</w:t>
      </w:r>
      <w:r>
        <w:rPr>
          <w:rFonts w:hint="eastAsia" w:ascii="仿宋" w:hAnsi="仿宋" w:eastAsia="仿宋" w:cs="仿宋"/>
          <w:color w:val="auto"/>
          <w:sz w:val="32"/>
          <w:szCs w:val="32"/>
          <w:lang w:val="en-US" w:eastAsia="en-US"/>
        </w:rPr>
        <w:t>受理窗口工作人员</w:t>
      </w:r>
    </w:p>
    <w:p w14:paraId="4FA6B824">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lang w:val="en-US" w:eastAsia="en-US"/>
        </w:rPr>
      </w:pPr>
      <w:r>
        <w:rPr>
          <w:rFonts w:hint="eastAsia" w:ascii="仿宋" w:hAnsi="仿宋" w:eastAsia="仿宋" w:cs="仿宋"/>
          <w:b/>
          <w:bCs/>
          <w:color w:val="auto"/>
          <w:sz w:val="32"/>
          <w:szCs w:val="32"/>
          <w:lang w:val="en-US" w:eastAsia="en-US"/>
        </w:rPr>
        <w:t>适用期间：</w:t>
      </w:r>
      <w:r>
        <w:rPr>
          <w:rFonts w:hint="eastAsia" w:ascii="仿宋" w:hAnsi="仿宋" w:eastAsia="仿宋" w:cs="仿宋"/>
          <w:color w:val="auto"/>
          <w:sz w:val="32"/>
          <w:szCs w:val="32"/>
          <w:lang w:val="en-US" w:eastAsia="en-US"/>
        </w:rPr>
        <w:t xml:space="preserve"> </w:t>
      </w:r>
      <w:r>
        <w:rPr>
          <w:rFonts w:hint="eastAsia" w:ascii="仿宋" w:hAnsi="仿宋" w:eastAsia="仿宋" w:cs="仿宋"/>
          <w:color w:val="auto"/>
          <w:sz w:val="32"/>
          <w:szCs w:val="32"/>
          <w:lang w:val="en-US" w:eastAsia="zh-CN"/>
        </w:rPr>
        <w:t>2027</w:t>
      </w:r>
      <w:r>
        <w:rPr>
          <w:rFonts w:hint="eastAsia" w:ascii="仿宋" w:hAnsi="仿宋" w:eastAsia="仿宋" w:cs="仿宋"/>
          <w:color w:val="auto"/>
          <w:sz w:val="32"/>
          <w:szCs w:val="32"/>
          <w:lang w:val="en-US" w:eastAsia="en-US"/>
        </w:rPr>
        <w:t>年省级企业技术改造项目库征集期</w:t>
      </w:r>
    </w:p>
    <w:p w14:paraId="5AC67C5F">
      <w:pPr>
        <w:pStyle w:val="4"/>
        <w:pageBreakBefore w:val="0"/>
        <w:widowControl/>
        <w:kinsoku/>
        <w:wordWrap/>
        <w:overflowPunct/>
        <w:topLinePunct w:val="0"/>
        <w:autoSpaceDE/>
        <w:autoSpaceDN/>
        <w:bidi w:val="0"/>
        <w:adjustRightInd/>
        <w:snapToGrid/>
        <w:spacing w:before="0" w:after="0" w:line="240" w:lineRule="auto"/>
        <w:ind w:left="0" w:firstLine="0" w:firstLineChars="0"/>
        <w:textAlignment w:val="auto"/>
        <w:rPr>
          <w:rFonts w:hint="eastAsia" w:ascii="仿宋" w:hAnsi="仿宋" w:eastAsia="仿宋" w:cs="仿宋"/>
          <w:color w:val="auto"/>
          <w:sz w:val="32"/>
          <w:szCs w:val="32"/>
        </w:rPr>
      </w:pPr>
    </w:p>
    <w:p w14:paraId="2BB67EBD">
      <w:pPr>
        <w:pStyle w:val="4"/>
        <w:pageBreakBefore w:val="0"/>
        <w:widowControl/>
        <w:kinsoku/>
        <w:wordWrap/>
        <w:overflowPunct/>
        <w:topLinePunct w:val="0"/>
        <w:autoSpaceDE/>
        <w:autoSpaceDN/>
        <w:bidi w:val="0"/>
        <w:adjustRightInd/>
        <w:snapToGrid/>
        <w:spacing w:before="0" w:after="0" w:line="240" w:lineRule="auto"/>
        <w:ind w:left="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一、总体说明</w:t>
      </w:r>
    </w:p>
    <w:p w14:paraId="7A2017D6">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1.1 政策定位</w:t>
      </w:r>
    </w:p>
    <w:p w14:paraId="03C99BC0">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省级企业技术改造资金采取</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切块至地市、竞争性评审入库的方式分配</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。河源市作为粤东粤西粤北地区地市，20</w:t>
      </w:r>
      <w:r>
        <w:rPr>
          <w:rFonts w:hint="eastAsia" w:ascii="仿宋" w:hAnsi="仿宋" w:eastAsia="仿宋" w:cs="仿宋"/>
          <w:color w:val="auto"/>
          <w:sz w:val="32"/>
          <w:szCs w:val="32"/>
          <w:lang w:val="en-US" w:eastAsia="zh-CN"/>
        </w:rPr>
        <w:t>27</w:t>
      </w:r>
      <w:r>
        <w:rPr>
          <w:rFonts w:hint="eastAsia" w:ascii="仿宋" w:hAnsi="仿宋" w:eastAsia="仿宋" w:cs="仿宋"/>
          <w:color w:val="auto"/>
          <w:sz w:val="32"/>
          <w:szCs w:val="32"/>
        </w:rPr>
        <w:t>年项目库</w:t>
      </w:r>
      <w:r>
        <w:rPr>
          <w:rFonts w:hint="eastAsia" w:ascii="仿宋" w:hAnsi="仿宋" w:eastAsia="仿宋" w:cs="仿宋"/>
          <w:b/>
          <w:color w:val="auto"/>
          <w:sz w:val="32"/>
          <w:szCs w:val="32"/>
        </w:rPr>
        <w:t>入库名额不超过 40 个设备奖励项目</w:t>
      </w:r>
      <w:r>
        <w:rPr>
          <w:rFonts w:hint="eastAsia" w:ascii="仿宋" w:hAnsi="仿宋" w:eastAsia="仿宋" w:cs="仿宋"/>
          <w:color w:val="auto"/>
          <w:sz w:val="32"/>
          <w:szCs w:val="32"/>
        </w:rPr>
        <w:t>，超出名额的项目不予入库。入库项目不等同于最终获得财政资金支持的项目，未入库项目原则上不安排预算。</w:t>
      </w:r>
    </w:p>
    <w:p w14:paraId="333FDEC7">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1.2 河源市关键参数速查</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56"/>
        <w:gridCol w:w="4156"/>
      </w:tblGrid>
      <w:tr w14:paraId="20BA8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56" w:type="dxa"/>
            <w:shd w:val="clear" w:color="auto" w:fill="F2F2F2"/>
          </w:tcPr>
          <w:p w14:paraId="2071C323">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8"/>
                <w:szCs w:val="28"/>
              </w:rPr>
            </w:pPr>
            <w:r>
              <w:rPr>
                <w:rFonts w:hint="eastAsia" w:ascii="仿宋" w:hAnsi="仿宋" w:eastAsia="仿宋" w:cs="仿宋"/>
                <w:b/>
                <w:color w:val="auto"/>
                <w:sz w:val="28"/>
                <w:szCs w:val="28"/>
              </w:rPr>
              <w:t>项目</w:t>
            </w:r>
          </w:p>
        </w:tc>
        <w:tc>
          <w:tcPr>
            <w:tcW w:w="4156" w:type="dxa"/>
            <w:shd w:val="clear" w:color="auto" w:fill="F2F2F2"/>
          </w:tcPr>
          <w:p w14:paraId="7D79705D">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8"/>
                <w:szCs w:val="28"/>
              </w:rPr>
            </w:pPr>
            <w:r>
              <w:rPr>
                <w:rFonts w:hint="eastAsia" w:ascii="仿宋" w:hAnsi="仿宋" w:eastAsia="仿宋" w:cs="仿宋"/>
                <w:b/>
                <w:color w:val="auto"/>
                <w:sz w:val="28"/>
                <w:szCs w:val="28"/>
              </w:rPr>
              <w:t>河源市参数</w:t>
            </w:r>
          </w:p>
        </w:tc>
      </w:tr>
      <w:tr w14:paraId="63DC0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5FD00A7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所属地区类别</w:t>
            </w:r>
          </w:p>
        </w:tc>
        <w:tc>
          <w:tcPr>
            <w:tcW w:w="4156" w:type="dxa"/>
          </w:tcPr>
          <w:p w14:paraId="3F19E726">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粤东粤西粤北地区</w:t>
            </w:r>
          </w:p>
        </w:tc>
      </w:tr>
      <w:tr w14:paraId="7B08E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74BD1888">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入库名额上限</w:t>
            </w:r>
          </w:p>
        </w:tc>
        <w:tc>
          <w:tcPr>
            <w:tcW w:w="4156" w:type="dxa"/>
          </w:tcPr>
          <w:p w14:paraId="33B0384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40 个设备奖励项目（技改金融政策不占名额）</w:t>
            </w:r>
          </w:p>
        </w:tc>
      </w:tr>
      <w:tr w14:paraId="7468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1454DB28">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设备奖励比例</w:t>
            </w:r>
          </w:p>
        </w:tc>
        <w:tc>
          <w:tcPr>
            <w:tcW w:w="4156" w:type="dxa"/>
          </w:tcPr>
          <w:p w14:paraId="1B1CC7AC">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不超过新设备购置额（不含税）的 30%</w:t>
            </w:r>
          </w:p>
        </w:tc>
      </w:tr>
      <w:tr w14:paraId="4738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0F68E938">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单个项目奖励上限</w:t>
            </w:r>
          </w:p>
        </w:tc>
        <w:tc>
          <w:tcPr>
            <w:tcW w:w="4156" w:type="dxa"/>
          </w:tcPr>
          <w:p w14:paraId="0C57A8B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1500 万元</w:t>
            </w:r>
          </w:p>
        </w:tc>
      </w:tr>
      <w:tr w14:paraId="0E20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10BBD3EF">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新设备购置总额下限</w:t>
            </w:r>
          </w:p>
        </w:tc>
        <w:tc>
          <w:tcPr>
            <w:tcW w:w="4156" w:type="dxa"/>
          </w:tcPr>
          <w:p w14:paraId="7439A14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400 万元（不含税）</w:t>
            </w:r>
          </w:p>
        </w:tc>
      </w:tr>
      <w:tr w14:paraId="5D384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3023782D">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固定资产投资下限</w:t>
            </w:r>
          </w:p>
        </w:tc>
        <w:tc>
          <w:tcPr>
            <w:tcW w:w="4156" w:type="dxa"/>
          </w:tcPr>
          <w:p w14:paraId="5DDB8D3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500 万元</w:t>
            </w:r>
          </w:p>
        </w:tc>
      </w:tr>
      <w:tr w14:paraId="4123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12361FE8">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项目完工时间要求</w:t>
            </w:r>
          </w:p>
        </w:tc>
        <w:tc>
          <w:tcPr>
            <w:tcW w:w="4156" w:type="dxa"/>
          </w:tcPr>
          <w:p w14:paraId="1466D29D">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2025年1月1日至2025年12月31日期间完工</w:t>
            </w:r>
          </w:p>
        </w:tc>
      </w:tr>
      <w:tr w14:paraId="02502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1E2E53D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同一主体年度申报</w:t>
            </w:r>
          </w:p>
        </w:tc>
        <w:tc>
          <w:tcPr>
            <w:tcW w:w="4156" w:type="dxa"/>
          </w:tcPr>
          <w:p w14:paraId="4D93AF2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同一申报主体同一年度原则上只能申报1个设备奖励项目</w:t>
            </w:r>
          </w:p>
        </w:tc>
      </w:tr>
    </w:tbl>
    <w:p w14:paraId="03323090">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1.3 窗口职责边界</w:t>
      </w:r>
    </w:p>
    <w:p w14:paraId="26BCA652">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负责：政策咨询、材料接收、形式审查、系统录入辅助、问题登记与转交</w:t>
      </w:r>
    </w:p>
    <w:p w14:paraId="319F1DA0">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不负责：项目实质性评审、专家抽取、现场核查、最终入库决定、资金拨付</w:t>
      </w:r>
    </w:p>
    <w:p w14:paraId="0ABD64DF">
      <w:pPr>
        <w:pStyle w:val="4"/>
        <w:pageBreakBefore w:val="0"/>
        <w:widowControl/>
        <w:kinsoku/>
        <w:wordWrap/>
        <w:overflowPunct/>
        <w:topLinePunct w:val="0"/>
        <w:autoSpaceDE/>
        <w:autoSpaceDN/>
        <w:bidi w:val="0"/>
        <w:adjustRightInd/>
        <w:snapToGrid/>
        <w:spacing w:before="0" w:after="0" w:line="240" w:lineRule="auto"/>
        <w:ind w:left="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二、支持方式与适用情形</w:t>
      </w:r>
    </w:p>
    <w:p w14:paraId="04FE4FA6">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河源市企业可申报以下 </w:t>
      </w:r>
      <w:r>
        <w:rPr>
          <w:rFonts w:hint="eastAsia" w:ascii="仿宋" w:hAnsi="仿宋" w:eastAsia="仿宋" w:cs="仿宋"/>
          <w:b/>
          <w:color w:val="auto"/>
          <w:sz w:val="32"/>
          <w:szCs w:val="32"/>
          <w:lang w:val="en-US" w:eastAsia="zh-CN"/>
        </w:rPr>
        <w:t>3</w:t>
      </w:r>
      <w:r>
        <w:rPr>
          <w:rFonts w:hint="eastAsia" w:ascii="仿宋" w:hAnsi="仿宋" w:eastAsia="仿宋" w:cs="仿宋"/>
          <w:b/>
          <w:color w:val="auto"/>
          <w:sz w:val="32"/>
          <w:szCs w:val="32"/>
        </w:rPr>
        <w:t>种支持方式</w:t>
      </w:r>
      <w:r>
        <w:rPr>
          <w:rFonts w:hint="eastAsia" w:ascii="仿宋" w:hAnsi="仿宋" w:eastAsia="仿宋" w:cs="仿宋"/>
          <w:color w:val="auto"/>
          <w:sz w:val="32"/>
          <w:szCs w:val="32"/>
        </w:rPr>
        <w:t>，同一项目可同时</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申报设备奖励 + 一种技改金融政策</w:t>
      </w:r>
      <w:r>
        <w:rPr>
          <w:rFonts w:hint="default" w:ascii="仿宋" w:hAnsi="仿宋" w:eastAsia="仿宋" w:cs="仿宋"/>
          <w:color w:val="auto"/>
          <w:sz w:val="32"/>
          <w:szCs w:val="32"/>
          <w:lang w:val="en-US" w:eastAsia="zh-CN"/>
        </w:rPr>
        <w:t>”</w:t>
      </w:r>
      <w:r>
        <w:rPr>
          <w:rFonts w:hint="eastAsia" w:ascii="仿宋" w:hAnsi="仿宋" w:eastAsia="仿宋" w:cs="仿宋"/>
          <w:color w:val="auto"/>
          <w:sz w:val="32"/>
          <w:szCs w:val="32"/>
        </w:rPr>
        <w:t>。</w:t>
      </w:r>
    </w:p>
    <w:p w14:paraId="1AFF2B8F">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2.1 设备奖励（事后奖励，按比例）</w:t>
      </w:r>
    </w:p>
    <w:p w14:paraId="60DB8BAA">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支持内容</w:t>
      </w:r>
      <w:r>
        <w:rPr>
          <w:rFonts w:hint="eastAsia" w:ascii="仿宋" w:hAnsi="仿宋" w:eastAsia="仿宋" w:cs="仿宋"/>
          <w:color w:val="auto"/>
          <w:sz w:val="32"/>
          <w:szCs w:val="32"/>
        </w:rPr>
        <w:t>：设备更新和升级换代，含配套软件（CAD、CAE 等工业软件）</w:t>
      </w:r>
    </w:p>
    <w:p w14:paraId="1C6916A7">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支持标准</w:t>
      </w:r>
      <w:r>
        <w:rPr>
          <w:rFonts w:hint="eastAsia" w:ascii="仿宋" w:hAnsi="仿宋" w:eastAsia="仿宋" w:cs="仿宋"/>
          <w:color w:val="auto"/>
          <w:sz w:val="32"/>
          <w:szCs w:val="32"/>
        </w:rPr>
        <w:t>：按新设备购置额（不含税）的 30% 给予奖励，单项目最高 1500 万元</w:t>
      </w:r>
    </w:p>
    <w:p w14:paraId="58849A1B">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票据原则</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以发票等合法票据的时间为准，核定奖补资金时遵循发票与支付凭证从小原则，票据不含税。</w:t>
      </w:r>
    </w:p>
    <w:p w14:paraId="06CE16F0">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不支持项</w:t>
      </w:r>
      <w:r>
        <w:rPr>
          <w:rFonts w:hint="eastAsia" w:ascii="仿宋" w:hAnsi="仿宋" w:eastAsia="仿宋" w:cs="仿宋"/>
          <w:color w:val="auto"/>
          <w:sz w:val="32"/>
          <w:szCs w:val="32"/>
        </w:rPr>
        <w:t>：内控管理软件、生活污水处理设备、耗材、二手设备、安装和服务费、工程费</w:t>
      </w:r>
    </w:p>
    <w:p w14:paraId="4DCC5734">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lang w:eastAsia="zh-CN"/>
        </w:rPr>
        <w:t>窗口常见问题解答</w:t>
      </w:r>
      <w:r>
        <w:rPr>
          <w:rFonts w:hint="eastAsia" w:ascii="仿宋" w:hAnsi="仿宋" w:eastAsia="仿宋" w:cs="仿宋"/>
          <w:color w:val="auto"/>
          <w:sz w:val="32"/>
          <w:szCs w:val="32"/>
        </w:rPr>
        <w:t>：二手设备一律不奖；办公电脑、打印机、空调等非生产设备不奖</w:t>
      </w:r>
      <w:r>
        <w:rPr>
          <w:rFonts w:hint="eastAsia" w:ascii="仿宋" w:hAnsi="仿宋" w:eastAsia="仿宋" w:cs="仿宋"/>
          <w:color w:val="auto"/>
          <w:sz w:val="32"/>
          <w:szCs w:val="32"/>
          <w:lang w:eastAsia="zh-CN"/>
        </w:rPr>
        <w:t>。</w:t>
      </w:r>
    </w:p>
    <w:p w14:paraId="19B6C881">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2.2 保险增信补贴（事后补贴）</w:t>
      </w:r>
    </w:p>
    <w:p w14:paraId="49CE5A6B">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支持标准</w:t>
      </w:r>
      <w:r>
        <w:rPr>
          <w:rFonts w:hint="eastAsia" w:ascii="仿宋" w:hAnsi="仿宋" w:eastAsia="仿宋" w:cs="仿宋"/>
          <w:color w:val="auto"/>
          <w:sz w:val="32"/>
          <w:szCs w:val="32"/>
        </w:rPr>
        <w:t>：按已支付保险费的不超过 50% 给予补贴</w:t>
      </w:r>
    </w:p>
    <w:p w14:paraId="3B12A3AC">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年度上限</w:t>
      </w:r>
      <w:r>
        <w:rPr>
          <w:rFonts w:hint="eastAsia" w:ascii="仿宋" w:hAnsi="仿宋" w:eastAsia="仿宋" w:cs="仿宋"/>
          <w:color w:val="auto"/>
          <w:sz w:val="32"/>
          <w:szCs w:val="32"/>
        </w:rPr>
        <w:t>：单个企业每年最高 40 万元</w:t>
      </w:r>
    </w:p>
    <w:p w14:paraId="0DEE8988">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同一笔贷款</w:t>
      </w:r>
      <w:r>
        <w:rPr>
          <w:rFonts w:hint="eastAsia" w:ascii="仿宋" w:hAnsi="仿宋" w:eastAsia="仿宋" w:cs="仿宋"/>
          <w:color w:val="auto"/>
          <w:sz w:val="32"/>
          <w:szCs w:val="32"/>
        </w:rPr>
        <w:t>：只能享受一次补贴</w:t>
      </w:r>
    </w:p>
    <w:p w14:paraId="24A8DEB8">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可补贴保单范围</w:t>
      </w:r>
      <w:r>
        <w:rPr>
          <w:rFonts w:hint="eastAsia" w:ascii="仿宋" w:hAnsi="仿宋" w:eastAsia="仿宋" w:cs="仿宋"/>
          <w:color w:val="auto"/>
          <w:sz w:val="32"/>
          <w:szCs w:val="32"/>
        </w:rPr>
        <w:t>：完工日前 5 年内（含完工日当年度）任一年度的已支付保单</w:t>
      </w:r>
    </w:p>
    <w:p w14:paraId="41C4D47C">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lang w:eastAsia="zh-CN"/>
        </w:rPr>
        <w:t>窗口常见问题解答</w:t>
      </w:r>
      <w:r>
        <w:rPr>
          <w:rFonts w:hint="eastAsia" w:ascii="仿宋" w:hAnsi="仿宋" w:eastAsia="仿宋" w:cs="仿宋"/>
          <w:color w:val="auto"/>
          <w:sz w:val="32"/>
          <w:szCs w:val="32"/>
        </w:rPr>
        <w:t>：中介费不能计入保费；同一笔保险增信贷款不能重复申请</w:t>
      </w:r>
    </w:p>
    <w:p w14:paraId="588CAD81">
      <w:pPr>
        <w:pStyle w:val="5"/>
        <w:pageBreakBefore w:val="0"/>
        <w:widowControl/>
        <w:kinsoku/>
        <w:wordWrap/>
        <w:overflowPunct/>
        <w:topLinePunct w:val="0"/>
        <w:autoSpaceDE/>
        <w:autoSpaceDN/>
        <w:bidi w:val="0"/>
        <w:adjustRightInd/>
        <w:snapToGrid/>
        <w:spacing w:before="0" w:after="0" w:line="240" w:lineRule="auto"/>
        <w:ind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 xml:space="preserve"> 融资租赁补贴（一次性补贴）</w:t>
      </w:r>
    </w:p>
    <w:p w14:paraId="6BAC9899">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支持标准</w:t>
      </w:r>
      <w:r>
        <w:rPr>
          <w:rFonts w:hint="eastAsia" w:ascii="仿宋" w:hAnsi="仿宋" w:eastAsia="仿宋" w:cs="仿宋"/>
          <w:color w:val="auto"/>
          <w:sz w:val="32"/>
          <w:szCs w:val="32"/>
        </w:rPr>
        <w:t>：按设备融资租赁合同额 × 同期五年期以上 LPR × 15% 给予一次性补贴</w:t>
      </w:r>
    </w:p>
    <w:p w14:paraId="3549B03A">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补贴期限</w:t>
      </w:r>
      <w:r>
        <w:rPr>
          <w:rFonts w:hint="eastAsia" w:ascii="仿宋" w:hAnsi="仿宋" w:eastAsia="仿宋" w:cs="仿宋"/>
          <w:color w:val="auto"/>
          <w:sz w:val="32"/>
          <w:szCs w:val="32"/>
        </w:rPr>
        <w:t>：单个项目最高 3 年（不足 1 年按实际月数）</w:t>
      </w:r>
    </w:p>
    <w:p w14:paraId="4ACD5F52">
      <w:pPr>
        <w:pageBreakBefore w:val="0"/>
        <w:widowControl/>
        <w:kinsoku/>
        <w:wordWrap/>
        <w:overflowPunct/>
        <w:topLinePunct w:val="0"/>
        <w:autoSpaceDE/>
        <w:autoSpaceDN/>
        <w:bidi w:val="0"/>
        <w:adjustRightInd/>
        <w:snapToGrid/>
        <w:spacing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b/>
          <w:color w:val="auto"/>
          <w:sz w:val="32"/>
          <w:szCs w:val="32"/>
        </w:rPr>
        <w:t>年度上限</w:t>
      </w:r>
      <w:r>
        <w:rPr>
          <w:rFonts w:hint="eastAsia" w:ascii="仿宋" w:hAnsi="仿宋" w:eastAsia="仿宋" w:cs="仿宋"/>
          <w:color w:val="auto"/>
          <w:sz w:val="32"/>
          <w:szCs w:val="32"/>
        </w:rPr>
        <w:t>：单个企业单个自然年最高 200 万元</w:t>
      </w:r>
    </w:p>
    <w:p w14:paraId="6B0D071A">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单合同下限</w:t>
      </w:r>
      <w:r>
        <w:rPr>
          <w:rFonts w:hint="eastAsia" w:ascii="仿宋" w:hAnsi="仿宋" w:eastAsia="仿宋" w:cs="仿宋"/>
          <w:color w:val="auto"/>
          <w:sz w:val="32"/>
          <w:szCs w:val="32"/>
        </w:rPr>
        <w:t>：500 万元（含）</w:t>
      </w:r>
    </w:p>
    <w:p w14:paraId="6812BD57">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同一合同</w:t>
      </w:r>
      <w:r>
        <w:rPr>
          <w:rFonts w:hint="eastAsia" w:ascii="仿宋" w:hAnsi="仿宋" w:eastAsia="仿宋" w:cs="仿宋"/>
          <w:color w:val="auto"/>
          <w:sz w:val="32"/>
          <w:szCs w:val="32"/>
        </w:rPr>
        <w:t>：只能享受一次补贴</w:t>
      </w:r>
    </w:p>
    <w:p w14:paraId="37C78F5D">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lang w:eastAsia="zh-CN"/>
        </w:rPr>
        <w:t>窗口常见问题解答</w:t>
      </w:r>
      <w:r>
        <w:rPr>
          <w:rFonts w:hint="eastAsia" w:ascii="仿宋" w:hAnsi="仿宋" w:eastAsia="仿宋" w:cs="仿宋"/>
          <w:color w:val="auto"/>
          <w:sz w:val="32"/>
          <w:szCs w:val="32"/>
        </w:rPr>
        <w:t>：家具电器、办公耗材、车辆、非专用电脑等不奖；间接租赁、转租赁不奖</w:t>
      </w:r>
      <w:r>
        <w:rPr>
          <w:rFonts w:hint="eastAsia" w:ascii="仿宋" w:hAnsi="仿宋" w:eastAsia="仿宋" w:cs="仿宋"/>
          <w:color w:val="auto"/>
          <w:sz w:val="32"/>
          <w:szCs w:val="32"/>
          <w:lang w:eastAsia="zh-CN"/>
        </w:rPr>
        <w:t>。</w:t>
      </w:r>
    </w:p>
    <w:p w14:paraId="718869CF">
      <w:pPr>
        <w:pStyle w:val="4"/>
        <w:pageBreakBefore w:val="0"/>
        <w:widowControl/>
        <w:kinsoku/>
        <w:wordWrap/>
        <w:overflowPunct/>
        <w:topLinePunct w:val="0"/>
        <w:autoSpaceDE/>
        <w:autoSpaceDN/>
        <w:bidi w:val="0"/>
        <w:adjustRightInd/>
        <w:snapToGrid/>
        <w:spacing w:before="0" w:after="0" w:line="240" w:lineRule="auto"/>
        <w:ind w:left="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三、申报条件快速核验表</w:t>
      </w:r>
    </w:p>
    <w:p w14:paraId="0642D1CC">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窗口受理材料时，按以下</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一票否决</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项先行核验，</w:t>
      </w:r>
      <w:r>
        <w:rPr>
          <w:rFonts w:hint="eastAsia" w:ascii="仿宋" w:hAnsi="仿宋" w:eastAsia="仿宋" w:cs="仿宋"/>
          <w:b/>
          <w:color w:val="auto"/>
          <w:sz w:val="32"/>
          <w:szCs w:val="32"/>
        </w:rPr>
        <w:t>任一项不符合即不予受理</w:t>
      </w:r>
      <w:r>
        <w:rPr>
          <w:rFonts w:hint="eastAsia" w:ascii="仿宋" w:hAnsi="仿宋" w:eastAsia="仿宋" w:cs="仿宋"/>
          <w:color w:val="auto"/>
          <w:sz w:val="32"/>
          <w:szCs w:val="32"/>
        </w:rPr>
        <w:t>。</w:t>
      </w:r>
    </w:p>
    <w:p w14:paraId="6D741F70">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3.1 主体资格</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06"/>
        <w:gridCol w:w="4606"/>
      </w:tblGrid>
      <w:tr w14:paraId="1E43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6" w:type="dxa"/>
            <w:shd w:val="clear" w:color="auto" w:fill="F2F2F2"/>
          </w:tcPr>
          <w:p w14:paraId="445DA4DB">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项</w:t>
            </w:r>
          </w:p>
        </w:tc>
        <w:tc>
          <w:tcPr>
            <w:tcW w:w="4606" w:type="dxa"/>
            <w:shd w:val="clear" w:color="auto" w:fill="F2F2F2"/>
          </w:tcPr>
          <w:p w14:paraId="0D1735AA">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不予受理情形</w:t>
            </w:r>
          </w:p>
        </w:tc>
      </w:tr>
      <w:tr w14:paraId="081D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6" w:type="dxa"/>
          </w:tcPr>
          <w:p w14:paraId="3E05ADDB">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登记注册</w:t>
            </w:r>
          </w:p>
        </w:tc>
        <w:tc>
          <w:tcPr>
            <w:tcW w:w="4606" w:type="dxa"/>
          </w:tcPr>
          <w:p w14:paraId="635104ED">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未在广东省</w:t>
            </w:r>
            <w:r>
              <w:rPr>
                <w:rFonts w:hint="eastAsia" w:ascii="仿宋" w:hAnsi="仿宋" w:eastAsia="仿宋" w:cs="仿宋"/>
                <w:color w:val="auto"/>
                <w:sz w:val="24"/>
                <w:szCs w:val="24"/>
                <w:lang w:eastAsia="zh-CN"/>
              </w:rPr>
              <w:t>河源市</w:t>
            </w:r>
            <w:r>
              <w:rPr>
                <w:rFonts w:hint="eastAsia" w:ascii="仿宋" w:hAnsi="仿宋" w:eastAsia="仿宋" w:cs="仿宋"/>
                <w:color w:val="auto"/>
                <w:sz w:val="24"/>
                <w:szCs w:val="24"/>
              </w:rPr>
              <w:t>内依法登记注册的工业企业</w:t>
            </w:r>
          </w:p>
        </w:tc>
      </w:tr>
      <w:tr w14:paraId="5B12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6" w:type="dxa"/>
          </w:tcPr>
          <w:p w14:paraId="3A998555">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经营地</w:t>
            </w:r>
          </w:p>
        </w:tc>
        <w:tc>
          <w:tcPr>
            <w:tcW w:w="4606" w:type="dxa"/>
          </w:tcPr>
          <w:p w14:paraId="68525D8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未在广东省</w:t>
            </w:r>
            <w:r>
              <w:rPr>
                <w:rFonts w:hint="eastAsia" w:ascii="仿宋" w:hAnsi="仿宋" w:eastAsia="仿宋" w:cs="仿宋"/>
                <w:color w:val="auto"/>
                <w:sz w:val="24"/>
                <w:szCs w:val="24"/>
                <w:lang w:eastAsia="zh-CN"/>
              </w:rPr>
              <w:t>河源市</w:t>
            </w:r>
            <w:r>
              <w:rPr>
                <w:rFonts w:hint="eastAsia" w:ascii="仿宋" w:hAnsi="仿宋" w:eastAsia="仿宋" w:cs="仿宋"/>
                <w:color w:val="auto"/>
                <w:sz w:val="24"/>
                <w:szCs w:val="24"/>
              </w:rPr>
              <w:t>内生产经营</w:t>
            </w:r>
          </w:p>
        </w:tc>
      </w:tr>
      <w:tr w14:paraId="170B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6" w:type="dxa"/>
          </w:tcPr>
          <w:p w14:paraId="6798562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主体类型</w:t>
            </w:r>
          </w:p>
        </w:tc>
        <w:tc>
          <w:tcPr>
            <w:tcW w:w="4606" w:type="dxa"/>
          </w:tcPr>
          <w:p w14:paraId="792FCC4F">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非工业企业（如纯贸易、服务类）</w:t>
            </w:r>
          </w:p>
        </w:tc>
      </w:tr>
      <w:tr w14:paraId="4341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6" w:type="dxa"/>
          </w:tcPr>
          <w:p w14:paraId="2AAEE5E5">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民事责任能力</w:t>
            </w:r>
          </w:p>
        </w:tc>
        <w:tc>
          <w:tcPr>
            <w:tcW w:w="4606" w:type="dxa"/>
          </w:tcPr>
          <w:p w14:paraId="05E69BD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不具备独立承担民事责任能力（如分公司、办事处）</w:t>
            </w:r>
          </w:p>
        </w:tc>
      </w:tr>
      <w:tr w14:paraId="4DD4F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6" w:type="dxa"/>
          </w:tcPr>
          <w:p w14:paraId="42CE0DC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信用记录</w:t>
            </w:r>
          </w:p>
        </w:tc>
        <w:tc>
          <w:tcPr>
            <w:tcW w:w="4606" w:type="dxa"/>
          </w:tcPr>
          <w:p w14:paraId="3BE158A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纳入</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信用中国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严重失信主体名单</w:t>
            </w:r>
          </w:p>
        </w:tc>
      </w:tr>
      <w:tr w14:paraId="05AE0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6" w:type="dxa"/>
          </w:tcPr>
          <w:p w14:paraId="3DC78DEB">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重复申报</w:t>
            </w:r>
          </w:p>
        </w:tc>
        <w:tc>
          <w:tcPr>
            <w:tcW w:w="4606" w:type="dxa"/>
          </w:tcPr>
          <w:p w14:paraId="4CDF462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同一申报主体同一年度已申报其他设备奖励项目</w:t>
            </w:r>
          </w:p>
        </w:tc>
      </w:tr>
    </w:tbl>
    <w:p w14:paraId="573DA6D2">
      <w:pPr>
        <w:pStyle w:val="5"/>
        <w:pageBreakBefore w:val="0"/>
        <w:widowControl/>
        <w:kinsoku/>
        <w:wordWrap/>
        <w:overflowPunct/>
        <w:topLinePunct w:val="0"/>
        <w:autoSpaceDE/>
        <w:autoSpaceDN/>
        <w:bidi w:val="0"/>
        <w:adjustRightInd/>
        <w:snapToGrid/>
        <w:spacing w:before="0"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3.2 项目合规</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56"/>
        <w:gridCol w:w="4156"/>
      </w:tblGrid>
      <w:tr w14:paraId="0D1BD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shd w:val="clear" w:color="auto" w:fill="F2F2F2"/>
          </w:tcPr>
          <w:p w14:paraId="28EF328B">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项</w:t>
            </w:r>
          </w:p>
        </w:tc>
        <w:tc>
          <w:tcPr>
            <w:tcW w:w="4156" w:type="dxa"/>
            <w:shd w:val="clear" w:color="auto" w:fill="F2F2F2"/>
          </w:tcPr>
          <w:p w14:paraId="52BEC0F2">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不予受理情形</w:t>
            </w:r>
          </w:p>
        </w:tc>
      </w:tr>
      <w:tr w14:paraId="3E0BE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37181ACD">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项目实施地</w:t>
            </w:r>
          </w:p>
        </w:tc>
        <w:tc>
          <w:tcPr>
            <w:tcW w:w="4156" w:type="dxa"/>
          </w:tcPr>
          <w:p w14:paraId="5B6C0E94">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不在广东省</w:t>
            </w:r>
            <w:r>
              <w:rPr>
                <w:rFonts w:hint="eastAsia" w:ascii="仿宋" w:hAnsi="仿宋" w:eastAsia="仿宋" w:cs="仿宋"/>
                <w:color w:val="auto"/>
                <w:sz w:val="24"/>
                <w:szCs w:val="24"/>
                <w:lang w:eastAsia="zh-CN"/>
              </w:rPr>
              <w:t>河源市</w:t>
            </w:r>
            <w:r>
              <w:rPr>
                <w:rFonts w:hint="eastAsia" w:ascii="仿宋" w:hAnsi="仿宋" w:eastAsia="仿宋" w:cs="仿宋"/>
                <w:color w:val="auto"/>
                <w:sz w:val="24"/>
                <w:szCs w:val="24"/>
              </w:rPr>
              <w:t>内实施</w:t>
            </w:r>
          </w:p>
        </w:tc>
      </w:tr>
      <w:tr w14:paraId="0BC3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4BFFC6C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备案文件</w:t>
            </w:r>
          </w:p>
        </w:tc>
        <w:tc>
          <w:tcPr>
            <w:tcW w:w="4156" w:type="dxa"/>
          </w:tcPr>
          <w:p w14:paraId="50BA4354">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无工信部门技改备案/核准/审批文件</w:t>
            </w:r>
          </w:p>
        </w:tc>
      </w:tr>
      <w:tr w14:paraId="77E3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4125E97F">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完工时间</w:t>
            </w:r>
          </w:p>
        </w:tc>
        <w:tc>
          <w:tcPr>
            <w:tcW w:w="4156" w:type="dxa"/>
          </w:tcPr>
          <w:p w14:paraId="065FBC36">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 2025年1月1日至2025年12月31日期间完工</w:t>
            </w:r>
          </w:p>
        </w:tc>
      </w:tr>
      <w:tr w14:paraId="26E6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32B2CA84">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完工与备案</w:t>
            </w:r>
          </w:p>
        </w:tc>
        <w:tc>
          <w:tcPr>
            <w:tcW w:w="4156" w:type="dxa"/>
          </w:tcPr>
          <w:p w14:paraId="2C79BF4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完工日期不在项目备案证建设期内</w:t>
            </w:r>
          </w:p>
        </w:tc>
      </w:tr>
      <w:tr w14:paraId="2E9C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42D6449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备案变更</w:t>
            </w:r>
          </w:p>
        </w:tc>
        <w:tc>
          <w:tcPr>
            <w:tcW w:w="4156" w:type="dxa"/>
          </w:tcPr>
          <w:p w14:paraId="3C67D5F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变更后时间超过原备案证明确完工日期</w:t>
            </w:r>
          </w:p>
        </w:tc>
      </w:tr>
      <w:tr w14:paraId="10182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36B9910B">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产业政策</w:t>
            </w:r>
          </w:p>
        </w:tc>
        <w:tc>
          <w:tcPr>
            <w:tcW w:w="4156" w:type="dxa"/>
          </w:tcPr>
          <w:p w14:paraId="5F55790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属于淘汰类或落后产能项目</w:t>
            </w:r>
          </w:p>
        </w:tc>
      </w:tr>
      <w:tr w14:paraId="69F3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496B5A2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资金重复</w:t>
            </w:r>
          </w:p>
        </w:tc>
        <w:tc>
          <w:tcPr>
            <w:tcW w:w="4156" w:type="dxa"/>
          </w:tcPr>
          <w:p w14:paraId="7948DB08">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申报设备（含申报奖励设备）已获省工信领域财政资金支持</w:t>
            </w:r>
          </w:p>
        </w:tc>
      </w:tr>
      <w:tr w14:paraId="4AF9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65E0DA0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资金重复</w:t>
            </w:r>
          </w:p>
        </w:tc>
        <w:tc>
          <w:tcPr>
            <w:tcW w:w="4156" w:type="dxa"/>
          </w:tcPr>
          <w:p w14:paraId="034B2BC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项目投资已获超长期特别国债资金支持</w:t>
            </w:r>
          </w:p>
        </w:tc>
      </w:tr>
      <w:tr w14:paraId="1DED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5E8E4BB5">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资金重复</w:t>
            </w:r>
          </w:p>
        </w:tc>
        <w:tc>
          <w:tcPr>
            <w:tcW w:w="4156" w:type="dxa"/>
          </w:tcPr>
          <w:p w14:paraId="2B2D5D57">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申报技改金融政策项目已获省级技改资金</w:t>
            </w:r>
            <w:r>
              <w:rPr>
                <w:rFonts w:hint="eastAsia" w:ascii="仿宋" w:hAnsi="仿宋" w:eastAsia="仿宋" w:cs="仿宋"/>
                <w:b/>
                <w:color w:val="auto"/>
                <w:sz w:val="24"/>
                <w:szCs w:val="24"/>
              </w:rPr>
              <w:t>以外</w:t>
            </w:r>
            <w:r>
              <w:rPr>
                <w:rFonts w:hint="eastAsia" w:ascii="仿宋" w:hAnsi="仿宋" w:eastAsia="仿宋" w:cs="仿宋"/>
                <w:color w:val="auto"/>
                <w:sz w:val="24"/>
                <w:szCs w:val="24"/>
              </w:rPr>
              <w:t>的省工信领域财政资金支持</w:t>
            </w:r>
          </w:p>
        </w:tc>
      </w:tr>
      <w:tr w14:paraId="290F3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232A914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投资统计</w:t>
            </w:r>
          </w:p>
        </w:tc>
        <w:tc>
          <w:tcPr>
            <w:tcW w:w="4156" w:type="dxa"/>
          </w:tcPr>
          <w:p w14:paraId="3A45A7D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项目未按规定纳入技术改造投资统计</w:t>
            </w:r>
          </w:p>
        </w:tc>
      </w:tr>
      <w:tr w14:paraId="39A82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200C10A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投资规模</w:t>
            </w:r>
          </w:p>
        </w:tc>
        <w:tc>
          <w:tcPr>
            <w:tcW w:w="4156" w:type="dxa"/>
          </w:tcPr>
          <w:p w14:paraId="5B6DD2CF">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固定资产投资额低于 500 万元</w:t>
            </w:r>
          </w:p>
        </w:tc>
      </w:tr>
      <w:tr w14:paraId="1272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6F8F2005">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设备规模</w:t>
            </w:r>
          </w:p>
        </w:tc>
        <w:tc>
          <w:tcPr>
            <w:tcW w:w="4156" w:type="dxa"/>
          </w:tcPr>
          <w:p w14:paraId="71D5E3B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设备投资额低于 400 万元（不含税）</w:t>
            </w:r>
          </w:p>
        </w:tc>
      </w:tr>
      <w:tr w14:paraId="0A96A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0941AE6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投资误差</w:t>
            </w:r>
          </w:p>
        </w:tc>
        <w:tc>
          <w:tcPr>
            <w:tcW w:w="4156" w:type="dxa"/>
          </w:tcPr>
          <w:p w14:paraId="775EC68A">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固定资产投资完成误差超过 20% 且未办理变更手续</w:t>
            </w:r>
          </w:p>
        </w:tc>
      </w:tr>
      <w:tr w14:paraId="1D9DB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4F67573A">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建设地变更</w:t>
            </w:r>
          </w:p>
        </w:tc>
        <w:tc>
          <w:tcPr>
            <w:tcW w:w="4156" w:type="dxa"/>
          </w:tcPr>
          <w:p w14:paraId="0F9DE8B6">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实际建设地与备案文件不一致</w:t>
            </w:r>
          </w:p>
        </w:tc>
      </w:tr>
    </w:tbl>
    <w:p w14:paraId="278EE978">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3.3 申报方式</w:t>
      </w:r>
    </w:p>
    <w:p w14:paraId="0BFD720D">
      <w:pPr>
        <w:pageBreakBefore w:val="0"/>
        <w:widowControl/>
        <w:kinsoku/>
        <w:wordWrap/>
        <w:overflowPunct/>
        <w:topLinePunct w:val="0"/>
        <w:autoSpaceDE/>
        <w:autoSpaceDN/>
        <w:bidi w:val="0"/>
        <w:adjustRightInd/>
        <w:snapToGrid/>
        <w:spacing w:after="0" w:line="240" w:lineRule="auto"/>
        <w:ind w:firstLine="320" w:firstLineChars="1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同一项目</w:t>
      </w:r>
      <w:r>
        <w:rPr>
          <w:rFonts w:hint="eastAsia" w:ascii="仿宋" w:hAnsi="仿宋" w:eastAsia="仿宋" w:cs="仿宋"/>
          <w:b/>
          <w:color w:val="auto"/>
          <w:sz w:val="32"/>
          <w:szCs w:val="32"/>
        </w:rPr>
        <w:t>只能选择 1 种技改金融政策</w:t>
      </w:r>
      <w:r>
        <w:rPr>
          <w:rFonts w:hint="eastAsia" w:ascii="仿宋" w:hAnsi="仿宋" w:eastAsia="仿宋" w:cs="仿宋"/>
          <w:color w:val="auto"/>
          <w:sz w:val="32"/>
          <w:szCs w:val="32"/>
        </w:rPr>
        <w:t>方式申报（保险 / 融资租赁</w:t>
      </w:r>
      <w:r>
        <w:rPr>
          <w:rFonts w:hint="eastAsia" w:ascii="仿宋" w:hAnsi="仿宋" w:eastAsia="仿宋" w:cs="仿宋"/>
          <w:color w:val="auto"/>
          <w:sz w:val="32"/>
          <w:szCs w:val="32"/>
          <w:lang w:eastAsia="zh-CN"/>
        </w:rPr>
        <w:t>二</w:t>
      </w:r>
      <w:r>
        <w:rPr>
          <w:rFonts w:hint="eastAsia" w:ascii="仿宋" w:hAnsi="仿宋" w:eastAsia="仿宋" w:cs="仿宋"/>
          <w:color w:val="auto"/>
          <w:sz w:val="32"/>
          <w:szCs w:val="32"/>
        </w:rPr>
        <w:t>选一）</w:t>
      </w:r>
    </w:p>
    <w:p w14:paraId="10C0978A">
      <w:pPr>
        <w:pageBreakBefore w:val="0"/>
        <w:widowControl/>
        <w:kinsoku/>
        <w:wordWrap/>
        <w:overflowPunct/>
        <w:topLinePunct w:val="0"/>
        <w:autoSpaceDE/>
        <w:autoSpaceDN/>
        <w:bidi w:val="0"/>
        <w:adjustRightInd/>
        <w:snapToGrid/>
        <w:spacing w:after="0" w:line="240" w:lineRule="auto"/>
        <w:ind w:left="0" w:firstLine="64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设备奖励与 1 种技改金融政策可叠加申报</w:t>
      </w:r>
    </w:p>
    <w:p w14:paraId="771ACDFF">
      <w:pPr>
        <w:pageBreakBefore w:val="0"/>
        <w:widowControl/>
        <w:kinsoku/>
        <w:wordWrap/>
        <w:overflowPunct/>
        <w:topLinePunct w:val="0"/>
        <w:autoSpaceDE/>
        <w:autoSpaceDN/>
        <w:bidi w:val="0"/>
        <w:adjustRightInd/>
        <w:snapToGrid/>
        <w:spacing w:after="0" w:line="240" w:lineRule="auto"/>
        <w:ind w:left="0" w:firstLine="64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同一申报主体同一年度原则上只能申报1个设备奖励项目</w:t>
      </w:r>
    </w:p>
    <w:p w14:paraId="1A6E4E0F">
      <w:pPr>
        <w:pStyle w:val="4"/>
        <w:pageBreakBefore w:val="0"/>
        <w:widowControl/>
        <w:kinsoku/>
        <w:wordWrap/>
        <w:overflowPunct/>
        <w:topLinePunct w:val="0"/>
        <w:autoSpaceDE/>
        <w:autoSpaceDN/>
        <w:bidi w:val="0"/>
        <w:adjustRightInd/>
        <w:snapToGrid/>
        <w:spacing w:before="0" w:after="0" w:line="240" w:lineRule="auto"/>
        <w:ind w:left="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四、申报材料清单（按支持方式分类）</w:t>
      </w:r>
    </w:p>
    <w:p w14:paraId="2C6FF4AA">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4.1 通用材料（</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种方式均需提供）</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22"/>
        <w:gridCol w:w="1959"/>
        <w:gridCol w:w="2571"/>
      </w:tblGrid>
      <w:tr w14:paraId="18F5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2" w:type="dxa"/>
            <w:shd w:val="clear" w:color="auto" w:fill="F2F2F2"/>
          </w:tcPr>
          <w:p w14:paraId="7670EE82">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材料名称</w:t>
            </w:r>
          </w:p>
        </w:tc>
        <w:tc>
          <w:tcPr>
            <w:tcW w:w="1959" w:type="dxa"/>
            <w:shd w:val="clear" w:color="auto" w:fill="F2F2F2"/>
          </w:tcPr>
          <w:p w14:paraId="1BF7DEDE">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来源 / 形式</w:t>
            </w:r>
          </w:p>
        </w:tc>
        <w:tc>
          <w:tcPr>
            <w:tcW w:w="2571" w:type="dxa"/>
            <w:shd w:val="clear" w:color="auto" w:fill="F2F2F2"/>
          </w:tcPr>
          <w:p w14:paraId="591652E1">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核验要点</w:t>
            </w:r>
          </w:p>
        </w:tc>
      </w:tr>
      <w:tr w14:paraId="6C93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2" w:type="dxa"/>
          </w:tcPr>
          <w:p w14:paraId="6302F90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项目资金申请表</w:t>
            </w:r>
          </w:p>
        </w:tc>
        <w:tc>
          <w:tcPr>
            <w:tcW w:w="1959" w:type="dxa"/>
          </w:tcPr>
          <w:p w14:paraId="1517F34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企业填报，盖章</w:t>
            </w:r>
          </w:p>
        </w:tc>
        <w:tc>
          <w:tcPr>
            <w:tcW w:w="2571" w:type="dxa"/>
          </w:tcPr>
          <w:p w14:paraId="6DDDB06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信息完整、签字盖章齐全</w:t>
            </w:r>
          </w:p>
        </w:tc>
      </w:tr>
      <w:tr w14:paraId="2C09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2" w:type="dxa"/>
          </w:tcPr>
          <w:p w14:paraId="339651D5">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项目申请报告</w:t>
            </w:r>
          </w:p>
        </w:tc>
        <w:tc>
          <w:tcPr>
            <w:tcW w:w="1959" w:type="dxa"/>
          </w:tcPr>
          <w:p w14:paraId="151ADFB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企业编写</w:t>
            </w:r>
          </w:p>
        </w:tc>
        <w:tc>
          <w:tcPr>
            <w:tcW w:w="2571" w:type="dxa"/>
          </w:tcPr>
          <w:p w14:paraId="27F6D9D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含单位基本情况、实施情况、效益情况、结论</w:t>
            </w:r>
          </w:p>
        </w:tc>
      </w:tr>
      <w:tr w14:paraId="50C0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2" w:type="dxa"/>
          </w:tcPr>
          <w:p w14:paraId="2376B32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工信部门技改备案/核准/审批文件</w:t>
            </w:r>
          </w:p>
        </w:tc>
        <w:tc>
          <w:tcPr>
            <w:tcW w:w="1959" w:type="dxa"/>
          </w:tcPr>
          <w:p w14:paraId="4ADFC05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工信部门出具</w:t>
            </w:r>
          </w:p>
        </w:tc>
        <w:tc>
          <w:tcPr>
            <w:tcW w:w="2571" w:type="dxa"/>
          </w:tcPr>
          <w:p w14:paraId="613F89D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在有效期内，完工日期在建设期内</w:t>
            </w:r>
          </w:p>
        </w:tc>
      </w:tr>
      <w:tr w14:paraId="011A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2" w:type="dxa"/>
          </w:tcPr>
          <w:p w14:paraId="75994178">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技术改造投资统计相关材料</w:t>
            </w:r>
          </w:p>
        </w:tc>
        <w:tc>
          <w:tcPr>
            <w:tcW w:w="1959" w:type="dxa"/>
          </w:tcPr>
          <w:p w14:paraId="3B25173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统计部门</w:t>
            </w:r>
          </w:p>
        </w:tc>
        <w:tc>
          <w:tcPr>
            <w:tcW w:w="2571" w:type="dxa"/>
          </w:tcPr>
          <w:p w14:paraId="318C373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已纳入技改投资统计</w:t>
            </w:r>
          </w:p>
        </w:tc>
      </w:tr>
      <w:tr w14:paraId="2078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2" w:type="dxa"/>
          </w:tcPr>
          <w:p w14:paraId="4B361537">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营业执照副本复印件</w:t>
            </w:r>
          </w:p>
        </w:tc>
        <w:tc>
          <w:tcPr>
            <w:tcW w:w="1959" w:type="dxa"/>
          </w:tcPr>
          <w:p w14:paraId="0A1CC1F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市场监管部门</w:t>
            </w:r>
          </w:p>
        </w:tc>
        <w:tc>
          <w:tcPr>
            <w:tcW w:w="2571" w:type="dxa"/>
          </w:tcPr>
          <w:p w14:paraId="6B8258DB">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在营（存续）状态</w:t>
            </w:r>
          </w:p>
        </w:tc>
      </w:tr>
      <w:tr w14:paraId="77432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2" w:type="dxa"/>
          </w:tcPr>
          <w:p w14:paraId="2EEB8F9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年度财务审计报告</w:t>
            </w:r>
          </w:p>
        </w:tc>
        <w:tc>
          <w:tcPr>
            <w:tcW w:w="1959" w:type="dxa"/>
          </w:tcPr>
          <w:p w14:paraId="23F64826">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会计师事务所</w:t>
            </w:r>
          </w:p>
        </w:tc>
        <w:tc>
          <w:tcPr>
            <w:tcW w:w="2571" w:type="dxa"/>
          </w:tcPr>
          <w:p w14:paraId="306CD99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完整报告，含审计意见</w:t>
            </w:r>
          </w:p>
        </w:tc>
      </w:tr>
      <w:tr w14:paraId="3979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2" w:type="dxa"/>
          </w:tcPr>
          <w:p w14:paraId="4E7DE0D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申报承诺书</w:t>
            </w:r>
          </w:p>
        </w:tc>
        <w:tc>
          <w:tcPr>
            <w:tcW w:w="1959" w:type="dxa"/>
          </w:tcPr>
          <w:p w14:paraId="2E845A7B">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企业填报</w:t>
            </w:r>
          </w:p>
        </w:tc>
        <w:tc>
          <w:tcPr>
            <w:tcW w:w="2571" w:type="dxa"/>
          </w:tcPr>
          <w:p w14:paraId="072564A7">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项目责任人 + 单位责任人签字 + 公章</w:t>
            </w:r>
          </w:p>
        </w:tc>
      </w:tr>
      <w:tr w14:paraId="4493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2" w:type="dxa"/>
          </w:tcPr>
          <w:p w14:paraId="6238FFB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无违法违规证明公共信用信息报告</w:t>
            </w:r>
          </w:p>
        </w:tc>
        <w:tc>
          <w:tcPr>
            <w:tcW w:w="1959" w:type="dxa"/>
          </w:tcPr>
          <w:p w14:paraId="6EB800BD">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信用广东</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平台</w:t>
            </w:r>
          </w:p>
        </w:tc>
        <w:tc>
          <w:tcPr>
            <w:tcW w:w="2571" w:type="dxa"/>
          </w:tcPr>
          <w:p w14:paraId="7A3CAFD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涵盖建筑市场</w:t>
            </w:r>
            <w:r>
              <w:rPr>
                <w:rFonts w:hint="eastAsia" w:ascii="仿宋" w:hAnsi="仿宋" w:eastAsia="仿宋" w:cs="仿宋"/>
                <w:color w:val="auto"/>
                <w:sz w:val="24"/>
                <w:szCs w:val="24"/>
                <w:lang w:eastAsia="zh-CN"/>
              </w:rPr>
              <w:t>监管</w:t>
            </w:r>
            <w:r>
              <w:rPr>
                <w:rFonts w:hint="eastAsia" w:ascii="仿宋" w:hAnsi="仿宋" w:eastAsia="仿宋" w:cs="仿宋"/>
                <w:color w:val="auto"/>
                <w:sz w:val="24"/>
                <w:szCs w:val="24"/>
              </w:rPr>
              <w:t>、安全生产、税务、自然资源、生态环境、能源等领域近三年记录</w:t>
            </w:r>
          </w:p>
        </w:tc>
      </w:tr>
    </w:tbl>
    <w:p w14:paraId="7879D8BB">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4.2 设备奖励方式</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0"/>
        <w:gridCol w:w="4548"/>
      </w:tblGrid>
      <w:tr w14:paraId="73340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shd w:val="clear" w:color="auto" w:fill="F2F2F2"/>
          </w:tcPr>
          <w:p w14:paraId="639BBE24">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材料名称</w:t>
            </w:r>
          </w:p>
        </w:tc>
        <w:tc>
          <w:tcPr>
            <w:tcW w:w="4548" w:type="dxa"/>
            <w:shd w:val="clear" w:color="auto" w:fill="F2F2F2"/>
          </w:tcPr>
          <w:p w14:paraId="2DC0FA2D">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核验要点</w:t>
            </w:r>
          </w:p>
        </w:tc>
      </w:tr>
      <w:tr w14:paraId="1E4A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tcPr>
          <w:p w14:paraId="06F9EF5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设备购置清单</w:t>
            </w:r>
          </w:p>
        </w:tc>
        <w:tc>
          <w:tcPr>
            <w:tcW w:w="4548" w:type="dxa"/>
          </w:tcPr>
          <w:p w14:paraId="6A5603F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设备名称、规格型号、品牌、数量、价格</w:t>
            </w:r>
          </w:p>
        </w:tc>
      </w:tr>
      <w:tr w14:paraId="4E76C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tcPr>
          <w:p w14:paraId="058BB8D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设备发票</w:t>
            </w:r>
          </w:p>
        </w:tc>
        <w:tc>
          <w:tcPr>
            <w:tcW w:w="4548" w:type="dxa"/>
          </w:tcPr>
          <w:p w14:paraId="7A307DB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不含税金额、时间在备案后到完工日内</w:t>
            </w:r>
          </w:p>
        </w:tc>
      </w:tr>
      <w:tr w14:paraId="4409F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tcPr>
          <w:p w14:paraId="601D107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设备支付凭证</w:t>
            </w:r>
          </w:p>
        </w:tc>
        <w:tc>
          <w:tcPr>
            <w:tcW w:w="4548" w:type="dxa"/>
          </w:tcPr>
          <w:p w14:paraId="486B1CE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银行流水、转账单据</w:t>
            </w:r>
          </w:p>
        </w:tc>
      </w:tr>
      <w:tr w14:paraId="2C3F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tcPr>
          <w:p w14:paraId="2D33F80F">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设备照片</w:t>
            </w:r>
          </w:p>
        </w:tc>
        <w:tc>
          <w:tcPr>
            <w:tcW w:w="4548" w:type="dxa"/>
          </w:tcPr>
          <w:p w14:paraId="73A9AB85">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实物照片，含铭牌</w:t>
            </w:r>
          </w:p>
        </w:tc>
      </w:tr>
      <w:tr w14:paraId="2E28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tcPr>
          <w:p w14:paraId="2D55BB7F">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铭牌照片</w:t>
            </w:r>
          </w:p>
        </w:tc>
        <w:tc>
          <w:tcPr>
            <w:tcW w:w="4548" w:type="dxa"/>
          </w:tcPr>
          <w:p w14:paraId="797E21B4">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铭牌信息与固定资产明细表、发票</w:t>
            </w:r>
            <w:r>
              <w:rPr>
                <w:rFonts w:hint="eastAsia" w:ascii="仿宋" w:hAnsi="仿宋" w:eastAsia="仿宋" w:cs="仿宋"/>
                <w:b/>
                <w:color w:val="auto"/>
                <w:sz w:val="24"/>
                <w:szCs w:val="24"/>
              </w:rPr>
              <w:t>原则上</w:t>
            </w:r>
            <w:r>
              <w:rPr>
                <w:rFonts w:hint="eastAsia" w:ascii="仿宋" w:hAnsi="仿宋" w:eastAsia="仿宋" w:cs="仿宋"/>
                <w:color w:val="auto"/>
                <w:sz w:val="24"/>
                <w:szCs w:val="24"/>
              </w:rPr>
              <w:t>保持对应</w:t>
            </w:r>
          </w:p>
        </w:tc>
      </w:tr>
      <w:tr w14:paraId="1D55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tcPr>
          <w:p w14:paraId="15CD602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购置合同</w:t>
            </w:r>
          </w:p>
        </w:tc>
        <w:tc>
          <w:tcPr>
            <w:tcW w:w="4548" w:type="dxa"/>
          </w:tcPr>
          <w:p w14:paraId="2FD34D7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买卖双方主体清晰</w:t>
            </w:r>
          </w:p>
        </w:tc>
      </w:tr>
      <w:tr w14:paraId="7396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tcPr>
          <w:p w14:paraId="67390D07">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转固凭证</w:t>
            </w:r>
          </w:p>
        </w:tc>
        <w:tc>
          <w:tcPr>
            <w:tcW w:w="4548" w:type="dxa"/>
          </w:tcPr>
          <w:p w14:paraId="681F665D">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已转入固定资产</w:t>
            </w:r>
          </w:p>
        </w:tc>
      </w:tr>
      <w:tr w14:paraId="4D6C8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tcPr>
          <w:p w14:paraId="681DB06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设备明细表</w:t>
            </w:r>
          </w:p>
        </w:tc>
        <w:tc>
          <w:tcPr>
            <w:tcW w:w="4548" w:type="dxa"/>
          </w:tcPr>
          <w:p w14:paraId="6E08784A">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按表格字段完整填写</w:t>
            </w:r>
          </w:p>
        </w:tc>
      </w:tr>
      <w:tr w14:paraId="6978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tcPr>
          <w:p w14:paraId="748E47D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关联交易说明（如有）</w:t>
            </w:r>
          </w:p>
        </w:tc>
        <w:tc>
          <w:tcPr>
            <w:tcW w:w="4548" w:type="dxa"/>
          </w:tcPr>
          <w:p w14:paraId="6B743B9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与关联方交易需说明价格公允性</w:t>
            </w:r>
          </w:p>
        </w:tc>
      </w:tr>
      <w:tr w14:paraId="69EBA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tcPr>
          <w:p w14:paraId="4A0D2F1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民爆企业：民用爆炸物品生产许可证</w:t>
            </w:r>
          </w:p>
        </w:tc>
        <w:tc>
          <w:tcPr>
            <w:tcW w:w="4548" w:type="dxa"/>
          </w:tcPr>
          <w:p w14:paraId="55FFA788">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工信部出具</w:t>
            </w:r>
          </w:p>
        </w:tc>
      </w:tr>
    </w:tbl>
    <w:p w14:paraId="1387D274">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4.3 保险增信补贴方式</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4"/>
        <w:gridCol w:w="4364"/>
      </w:tblGrid>
      <w:tr w14:paraId="39A1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714" w:type="dxa"/>
            <w:shd w:val="clear" w:color="auto" w:fill="F2F2F2"/>
          </w:tcPr>
          <w:p w14:paraId="18B20AFA">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材料名称</w:t>
            </w:r>
          </w:p>
        </w:tc>
        <w:tc>
          <w:tcPr>
            <w:tcW w:w="4364" w:type="dxa"/>
            <w:shd w:val="clear" w:color="auto" w:fill="F2F2F2"/>
          </w:tcPr>
          <w:p w14:paraId="425B731F">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核验要点</w:t>
            </w:r>
          </w:p>
        </w:tc>
      </w:tr>
      <w:tr w14:paraId="0AC3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4" w:type="dxa"/>
          </w:tcPr>
          <w:p w14:paraId="1430271B">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银行借款合同</w:t>
            </w:r>
          </w:p>
        </w:tc>
        <w:tc>
          <w:tcPr>
            <w:tcW w:w="4364" w:type="dxa"/>
          </w:tcPr>
          <w:p w14:paraId="43B976D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通过保险增信方式获得</w:t>
            </w:r>
          </w:p>
        </w:tc>
      </w:tr>
      <w:tr w14:paraId="0DF56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4" w:type="dxa"/>
          </w:tcPr>
          <w:p w14:paraId="1F49884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保单</w:t>
            </w:r>
          </w:p>
        </w:tc>
        <w:tc>
          <w:tcPr>
            <w:tcW w:w="4364" w:type="dxa"/>
          </w:tcPr>
          <w:p w14:paraId="2DDF536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技改项目保险增信</w:t>
            </w:r>
          </w:p>
        </w:tc>
      </w:tr>
      <w:tr w14:paraId="43F0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4" w:type="dxa"/>
          </w:tcPr>
          <w:p w14:paraId="687904A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批单（如有）</w:t>
            </w:r>
          </w:p>
        </w:tc>
        <w:tc>
          <w:tcPr>
            <w:tcW w:w="4364" w:type="dxa"/>
          </w:tcPr>
          <w:p w14:paraId="44CF6359">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保单变更记录</w:t>
            </w:r>
          </w:p>
        </w:tc>
      </w:tr>
      <w:tr w14:paraId="3907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4" w:type="dxa"/>
          </w:tcPr>
          <w:p w14:paraId="7FDDFECC">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全额保费发票</w:t>
            </w:r>
          </w:p>
        </w:tc>
        <w:tc>
          <w:tcPr>
            <w:tcW w:w="4364" w:type="dxa"/>
          </w:tcPr>
          <w:p w14:paraId="11CEF66C">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不含</w:t>
            </w:r>
            <w:r>
              <w:rPr>
                <w:rFonts w:hint="eastAsia" w:ascii="仿宋" w:hAnsi="仿宋" w:eastAsia="仿宋" w:cs="仿宋"/>
                <w:color w:val="auto"/>
                <w:sz w:val="24"/>
                <w:szCs w:val="24"/>
              </w:rPr>
              <w:t>中介费</w:t>
            </w:r>
          </w:p>
        </w:tc>
      </w:tr>
      <w:tr w14:paraId="408FD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4" w:type="dxa"/>
          </w:tcPr>
          <w:p w14:paraId="14FC081F">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保费支付凭证</w:t>
            </w:r>
          </w:p>
        </w:tc>
        <w:tc>
          <w:tcPr>
            <w:tcW w:w="4364" w:type="dxa"/>
          </w:tcPr>
          <w:p w14:paraId="1BD30F88">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银行流水</w:t>
            </w:r>
          </w:p>
        </w:tc>
      </w:tr>
      <w:tr w14:paraId="0B40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4" w:type="dxa"/>
          </w:tcPr>
          <w:p w14:paraId="04CE76C8">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保费明细表</w:t>
            </w:r>
          </w:p>
        </w:tc>
        <w:tc>
          <w:tcPr>
            <w:tcW w:w="4364" w:type="dxa"/>
          </w:tcPr>
          <w:p w14:paraId="6F9B303D">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含保险金额、费率、投保时间</w:t>
            </w:r>
          </w:p>
        </w:tc>
      </w:tr>
    </w:tbl>
    <w:p w14:paraId="70D2D1E4">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 xml:space="preserve"> 融资租赁补贴方式</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93"/>
        <w:gridCol w:w="4372"/>
      </w:tblGrid>
      <w:tr w14:paraId="0844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shd w:val="clear" w:color="auto" w:fill="F2F2F2"/>
          </w:tcPr>
          <w:p w14:paraId="45178F55">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材料名称</w:t>
            </w:r>
          </w:p>
        </w:tc>
        <w:tc>
          <w:tcPr>
            <w:tcW w:w="4372" w:type="dxa"/>
            <w:shd w:val="clear" w:color="auto" w:fill="F2F2F2"/>
          </w:tcPr>
          <w:p w14:paraId="6ED1F33F">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核验要点</w:t>
            </w:r>
          </w:p>
        </w:tc>
      </w:tr>
      <w:tr w14:paraId="6A81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tcPr>
          <w:p w14:paraId="1D826A3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融资租赁合同</w:t>
            </w:r>
          </w:p>
        </w:tc>
        <w:tc>
          <w:tcPr>
            <w:tcW w:w="4372" w:type="dxa"/>
          </w:tcPr>
          <w:p w14:paraId="445B359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直接融资租赁</w:t>
            </w:r>
          </w:p>
        </w:tc>
      </w:tr>
      <w:tr w14:paraId="233A2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tcPr>
          <w:p w14:paraId="2AD4D986">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资产转让协议</w:t>
            </w:r>
          </w:p>
        </w:tc>
        <w:tc>
          <w:tcPr>
            <w:tcW w:w="4372" w:type="dxa"/>
          </w:tcPr>
          <w:p w14:paraId="63EED15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合同附件</w:t>
            </w:r>
          </w:p>
        </w:tc>
      </w:tr>
      <w:tr w14:paraId="7822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tcPr>
          <w:p w14:paraId="5AE3C8FC">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还款计划表</w:t>
            </w:r>
          </w:p>
        </w:tc>
        <w:tc>
          <w:tcPr>
            <w:tcW w:w="4372" w:type="dxa"/>
          </w:tcPr>
          <w:p w14:paraId="6A9AFD2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合同附件</w:t>
            </w:r>
          </w:p>
        </w:tc>
      </w:tr>
      <w:tr w14:paraId="358B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tcPr>
          <w:p w14:paraId="6446D518">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融资租赁款收款银行回单</w:t>
            </w:r>
          </w:p>
        </w:tc>
        <w:tc>
          <w:tcPr>
            <w:tcW w:w="4372" w:type="dxa"/>
          </w:tcPr>
          <w:p w14:paraId="7CDFD844">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出租方收到款项凭证</w:t>
            </w:r>
          </w:p>
        </w:tc>
      </w:tr>
      <w:tr w14:paraId="2D23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tcPr>
          <w:p w14:paraId="444C186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设备购置发票</w:t>
            </w:r>
          </w:p>
        </w:tc>
        <w:tc>
          <w:tcPr>
            <w:tcW w:w="4372" w:type="dxa"/>
          </w:tcPr>
          <w:p w14:paraId="2EBC9B7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或设备价值评估报告</w:t>
            </w:r>
          </w:p>
        </w:tc>
      </w:tr>
      <w:tr w14:paraId="6135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tcPr>
          <w:p w14:paraId="4CE30A9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租金支付凭证</w:t>
            </w:r>
          </w:p>
        </w:tc>
        <w:tc>
          <w:tcPr>
            <w:tcW w:w="4372" w:type="dxa"/>
          </w:tcPr>
          <w:p w14:paraId="3B0DB6DC">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转账凭证、租息发票</w:t>
            </w:r>
          </w:p>
        </w:tc>
      </w:tr>
      <w:tr w14:paraId="1BD50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tcPr>
          <w:p w14:paraId="0EBC9527">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租赁设备清单</w:t>
            </w:r>
          </w:p>
        </w:tc>
        <w:tc>
          <w:tcPr>
            <w:tcW w:w="4372" w:type="dxa"/>
          </w:tcPr>
          <w:p w14:paraId="2AF0F2E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设备明细</w:t>
            </w:r>
          </w:p>
        </w:tc>
      </w:tr>
      <w:tr w14:paraId="48E9B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tcPr>
          <w:p w14:paraId="21BDFAAD">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融资租赁款明细表</w:t>
            </w:r>
          </w:p>
        </w:tc>
        <w:tc>
          <w:tcPr>
            <w:tcW w:w="4372" w:type="dxa"/>
          </w:tcPr>
          <w:p w14:paraId="13D5A224">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完整字段</w:t>
            </w:r>
          </w:p>
        </w:tc>
      </w:tr>
    </w:tbl>
    <w:p w14:paraId="76E2629E">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11B55F65">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材料形式要求</w:t>
      </w:r>
    </w:p>
    <w:p w14:paraId="328E389F">
      <w:pPr>
        <w:pageBreakBefore w:val="0"/>
        <w:widowControl/>
        <w:kinsoku/>
        <w:wordWrap/>
        <w:overflowPunct/>
        <w:topLinePunct w:val="0"/>
        <w:autoSpaceDE/>
        <w:autoSpaceDN/>
        <w:bidi w:val="0"/>
        <w:adjustRightInd/>
        <w:snapToGrid/>
        <w:spacing w:after="0" w:line="240" w:lineRule="auto"/>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封面统一标注：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20</w:t>
      </w:r>
      <w:r>
        <w:rPr>
          <w:rStyle w:val="165"/>
          <w:rFonts w:hint="eastAsia" w:ascii="仿宋" w:hAnsi="仿宋" w:eastAsia="仿宋" w:cs="仿宋"/>
          <w:color w:val="auto"/>
          <w:sz w:val="32"/>
          <w:szCs w:val="32"/>
          <w:lang w:val="en-US" w:eastAsia="zh-CN"/>
        </w:rPr>
        <w:t>27</w:t>
      </w:r>
      <w:r>
        <w:rPr>
          <w:rFonts w:hint="eastAsia" w:ascii="仿宋" w:hAnsi="仿宋" w:eastAsia="仿宋" w:cs="仿宋"/>
          <w:color w:val="auto"/>
          <w:sz w:val="32"/>
          <w:szCs w:val="32"/>
        </w:rPr>
        <w:t xml:space="preserve"> 年广东省制造业当家重点任务保障专项企业技术改造资金项目库申请报告</w:t>
      </w:r>
      <w:r>
        <w:rPr>
          <w:rFonts w:hint="eastAsia" w:ascii="仿宋" w:hAnsi="仿宋" w:eastAsia="仿宋" w:cs="仿宋"/>
          <w:color w:val="auto"/>
          <w:sz w:val="32"/>
          <w:szCs w:val="32"/>
          <w:lang w:eastAsia="zh-CN"/>
        </w:rPr>
        <w:t>”</w:t>
      </w:r>
    </w:p>
    <w:p w14:paraId="5AE7D4DC">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标明申报单位、申报日期、</w:t>
      </w:r>
      <w:r>
        <w:rPr>
          <w:rFonts w:hint="eastAsia" w:ascii="仿宋" w:hAnsi="仿宋" w:eastAsia="仿宋" w:cs="仿宋"/>
          <w:b/>
          <w:color w:val="auto"/>
          <w:sz w:val="32"/>
          <w:szCs w:val="32"/>
        </w:rPr>
        <w:t>支持方式</w:t>
      </w:r>
    </w:p>
    <w:p w14:paraId="634A832E">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编制目录、列明页码</w:t>
      </w:r>
    </w:p>
    <w:p w14:paraId="283C8ACC">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全部材料加盖单位公章（多页材料加盖骑缝章）</w:t>
      </w:r>
    </w:p>
    <w:p w14:paraId="72D8ED13">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A4 规格，胶装成册，建议一式</w:t>
      </w: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份</w:t>
      </w:r>
    </w:p>
    <w:p w14:paraId="51857DAB">
      <w:pPr>
        <w:pStyle w:val="4"/>
        <w:pageBreakBefore w:val="0"/>
        <w:widowControl/>
        <w:kinsoku/>
        <w:wordWrap/>
        <w:overflowPunct/>
        <w:topLinePunct w:val="0"/>
        <w:autoSpaceDE/>
        <w:autoSpaceDN/>
        <w:bidi w:val="0"/>
        <w:adjustRightInd/>
        <w:snapToGrid/>
        <w:spacing w:before="0" w:after="0" w:line="240" w:lineRule="auto"/>
        <w:ind w:left="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五、窗口受理流程</w:t>
      </w:r>
    </w:p>
    <w:p w14:paraId="35D6C007">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5.1 流程总图</w:t>
      </w:r>
    </w:p>
    <w:p w14:paraId="600C18AB">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企业咨询 → 形式预审 → 材料接收 → 受理登记 → 形式审查 → 系统录入</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 xml:space="preserve">   ↓         ↓          ↓          ↓          ↓          ↓</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 xml:space="preserve"> 答疑       缺件告知    签收材料    编号登记    不通过:     转交初审</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 xml:space="preserve">            退回补正               系统提交    退回补正</w:t>
      </w:r>
      <w:r>
        <w:rPr>
          <w:rFonts w:hint="eastAsia" w:ascii="仿宋" w:hAnsi="仿宋" w:eastAsia="仿宋" w:cs="仿宋"/>
          <w:color w:val="auto"/>
          <w:sz w:val="24"/>
          <w:szCs w:val="24"/>
        </w:rPr>
        <w:br w:type="textWrapping"/>
      </w:r>
    </w:p>
    <w:p w14:paraId="77ACE65E">
      <w:pPr>
        <w:pageBreakBefore w:val="0"/>
        <w:widowControl/>
        <w:kinsoku/>
        <w:wordWrap/>
        <w:overflowPunct/>
        <w:topLinePunct w:val="0"/>
        <w:autoSpaceDE/>
        <w:autoSpaceDN/>
        <w:bidi w:val="0"/>
        <w:adjustRightInd/>
        <w:snapToGrid/>
        <w:spacing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val="en-US" w:eastAsia="en-US" w:bidi="ar-SA"/>
        </w:rPr>
        <w:t>5.2 步骤详解</w:t>
      </w:r>
    </w:p>
    <w:p w14:paraId="270FD677">
      <w:pPr>
        <w:pStyle w:val="6"/>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步骤 1：企业咨询答疑</w:t>
      </w:r>
    </w:p>
    <w:p w14:paraId="21242451">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 发放《申报指南》纸质版或电子版</w:t>
      </w:r>
    </w:p>
    <w:p w14:paraId="16B4C35A">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 解答常见政策问题</w:t>
      </w:r>
    </w:p>
    <w:p w14:paraId="6DCDE13A">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 告知截止时间、受理时段、所需材料</w:t>
      </w:r>
    </w:p>
    <w:p w14:paraId="4995ED8A">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4. </w:t>
      </w:r>
      <w:r>
        <w:rPr>
          <w:rFonts w:hint="eastAsia" w:ascii="仿宋" w:hAnsi="仿宋" w:eastAsia="仿宋" w:cs="仿宋"/>
          <w:b/>
          <w:color w:val="auto"/>
          <w:sz w:val="32"/>
          <w:szCs w:val="32"/>
        </w:rPr>
        <w:t>不承诺</w:t>
      </w:r>
      <w:r>
        <w:rPr>
          <w:rFonts w:hint="eastAsia" w:ascii="仿宋" w:hAnsi="仿宋" w:eastAsia="仿宋" w:cs="仿宋"/>
          <w:color w:val="auto"/>
          <w:sz w:val="32"/>
          <w:szCs w:val="32"/>
        </w:rPr>
        <w:t>最终入库结果，避免企业预期</w:t>
      </w:r>
    </w:p>
    <w:p w14:paraId="661A2355">
      <w:pPr>
        <w:pStyle w:val="6"/>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步骤 2：形式预审</w:t>
      </w:r>
    </w:p>
    <w:p w14:paraId="31D852C8">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企业材料准备基本完成后，可先到窗口进行预审</w:t>
      </w:r>
    </w:p>
    <w:p w14:paraId="5D20E300">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窗口人员按本指引</w:t>
      </w:r>
      <w:r>
        <w:rPr>
          <w:rFonts w:hint="eastAsia" w:ascii="仿宋" w:hAnsi="仿宋" w:eastAsia="仿宋" w:cs="仿宋"/>
          <w:color w:val="auto"/>
          <w:sz w:val="32"/>
          <w:szCs w:val="32"/>
          <w:lang w:eastAsia="zh-CN"/>
        </w:rPr>
        <w:t>“三、</w:t>
      </w:r>
      <w:r>
        <w:rPr>
          <w:rFonts w:hint="eastAsia" w:ascii="仿宋" w:hAnsi="仿宋" w:eastAsia="仿宋" w:cs="仿宋"/>
          <w:color w:val="auto"/>
          <w:sz w:val="32"/>
          <w:szCs w:val="32"/>
        </w:rPr>
        <w:t>申报条件快速核验表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逐项核验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预审通过的，开具《材料预审通过单》；不通过的，告知缺件清单</w:t>
      </w:r>
      <w:r>
        <w:rPr>
          <w:rFonts w:hint="eastAsia" w:ascii="仿宋" w:hAnsi="仿宋" w:eastAsia="仿宋" w:cs="仿宋"/>
          <w:color w:val="auto"/>
          <w:sz w:val="32"/>
          <w:szCs w:val="32"/>
          <w:lang w:eastAsia="zh-CN"/>
        </w:rPr>
        <w:t>。</w:t>
      </w:r>
    </w:p>
    <w:p w14:paraId="40E4E1F0">
      <w:pPr>
        <w:pStyle w:val="6"/>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步骤 3：材料接收</w:t>
      </w:r>
    </w:p>
    <w:p w14:paraId="3B13A362">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1. </w:t>
      </w:r>
      <w:r>
        <w:rPr>
          <w:rFonts w:hint="eastAsia" w:ascii="仿宋" w:hAnsi="仿宋" w:eastAsia="仿宋" w:cs="仿宋"/>
          <w:b/>
          <w:color w:val="auto"/>
          <w:sz w:val="32"/>
          <w:szCs w:val="32"/>
        </w:rPr>
        <w:t>现场签收</w:t>
      </w:r>
      <w:r>
        <w:rPr>
          <w:rFonts w:hint="eastAsia" w:ascii="仿宋" w:hAnsi="仿宋" w:eastAsia="仿宋" w:cs="仿宋"/>
          <w:color w:val="auto"/>
          <w:sz w:val="32"/>
          <w:szCs w:val="32"/>
        </w:rPr>
        <w:t>：核对材料目录与实物是否一致</w:t>
      </w:r>
    </w:p>
    <w:p w14:paraId="1F32DE54">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2. </w:t>
      </w:r>
      <w:r>
        <w:rPr>
          <w:rFonts w:hint="eastAsia" w:ascii="仿宋" w:hAnsi="仿宋" w:eastAsia="仿宋" w:cs="仿宋"/>
          <w:b/>
          <w:color w:val="auto"/>
          <w:sz w:val="32"/>
          <w:szCs w:val="32"/>
        </w:rPr>
        <w:t>缺件处理</w:t>
      </w:r>
      <w:r>
        <w:rPr>
          <w:rFonts w:hint="eastAsia" w:ascii="仿宋" w:hAnsi="仿宋" w:eastAsia="仿宋" w:cs="仿宋"/>
          <w:color w:val="auto"/>
          <w:sz w:val="32"/>
          <w:szCs w:val="32"/>
        </w:rPr>
        <w:t>：</w:t>
      </w:r>
    </w:p>
    <w:p w14:paraId="659969BA">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关键材料缺失（申请表、备案文件、审计报告、承诺书、信用报告）→ </w:t>
      </w:r>
      <w:r>
        <w:rPr>
          <w:rFonts w:hint="eastAsia" w:ascii="仿宋" w:hAnsi="仿宋" w:eastAsia="仿宋" w:cs="仿宋"/>
          <w:b/>
          <w:color w:val="auto"/>
          <w:sz w:val="32"/>
          <w:szCs w:val="32"/>
        </w:rPr>
        <w:t>不予受理</w:t>
      </w:r>
      <w:r>
        <w:rPr>
          <w:rFonts w:hint="eastAsia" w:ascii="仿宋" w:hAnsi="仿宋" w:eastAsia="仿宋" w:cs="仿宋"/>
          <w:color w:val="auto"/>
          <w:sz w:val="32"/>
          <w:szCs w:val="32"/>
        </w:rPr>
        <w:t>，出具《不予受理告知书》</w:t>
      </w:r>
    </w:p>
    <w:p w14:paraId="599FB14A">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一般材料缺失 → 开具《缺件告知单》，限期 </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 xml:space="preserve"> 个工作日内补正</w:t>
      </w:r>
    </w:p>
    <w:p w14:paraId="45E0559B">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3. </w:t>
      </w:r>
      <w:r>
        <w:rPr>
          <w:rFonts w:hint="eastAsia" w:ascii="仿宋" w:hAnsi="仿宋" w:eastAsia="仿宋" w:cs="仿宋"/>
          <w:b/>
          <w:color w:val="auto"/>
          <w:sz w:val="32"/>
          <w:szCs w:val="32"/>
        </w:rPr>
        <w:t>签发受理回执</w:t>
      </w:r>
      <w:r>
        <w:rPr>
          <w:rFonts w:hint="eastAsia" w:ascii="仿宋" w:hAnsi="仿宋" w:eastAsia="仿宋" w:cs="仿宋"/>
          <w:color w:val="auto"/>
          <w:sz w:val="32"/>
          <w:szCs w:val="32"/>
        </w:rPr>
        <w:t>：填写受理日期、受理编号、企业联系人</w:t>
      </w:r>
    </w:p>
    <w:p w14:paraId="5D082968">
      <w:pPr>
        <w:pStyle w:val="6"/>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步骤 4：受理登记</w:t>
      </w:r>
    </w:p>
    <w:p w14:paraId="551DF536">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6B2A676A">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建立《20</w:t>
      </w:r>
      <w:r>
        <w:rPr>
          <w:rFonts w:hint="eastAsia" w:ascii="仿宋" w:hAnsi="仿宋" w:eastAsia="仿宋" w:cs="仿宋"/>
          <w:color w:val="auto"/>
          <w:sz w:val="32"/>
          <w:szCs w:val="32"/>
          <w:lang w:val="en-US" w:eastAsia="zh-CN"/>
        </w:rPr>
        <w:t>27</w:t>
      </w:r>
      <w:r>
        <w:rPr>
          <w:rFonts w:hint="eastAsia" w:ascii="仿宋" w:hAnsi="仿宋" w:eastAsia="仿宋" w:cs="仿宋"/>
          <w:color w:val="auto"/>
          <w:sz w:val="32"/>
          <w:szCs w:val="32"/>
        </w:rPr>
        <w:t xml:space="preserve"> 年河源市技改项目申报登记台账》：</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6"/>
        <w:gridCol w:w="4496"/>
      </w:tblGrid>
      <w:tr w14:paraId="47BC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shd w:val="clear" w:color="auto" w:fill="F2F2F2"/>
          </w:tcPr>
          <w:p w14:paraId="5F0F0DF2">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字段</w:t>
            </w:r>
          </w:p>
        </w:tc>
        <w:tc>
          <w:tcPr>
            <w:tcW w:w="4496" w:type="dxa"/>
            <w:shd w:val="clear" w:color="auto" w:fill="F2F2F2"/>
          </w:tcPr>
          <w:p w14:paraId="278B5EE6">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内容</w:t>
            </w:r>
          </w:p>
        </w:tc>
      </w:tr>
      <w:tr w14:paraId="7ECC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6CA71CD4">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受理编号</w:t>
            </w:r>
          </w:p>
        </w:tc>
        <w:tc>
          <w:tcPr>
            <w:tcW w:w="4496" w:type="dxa"/>
          </w:tcPr>
          <w:p w14:paraId="5B87831A">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HY-JG-2026-XXX（按顺序号）</w:t>
            </w:r>
          </w:p>
        </w:tc>
      </w:tr>
      <w:tr w14:paraId="3B76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4458B7A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申报单位</w:t>
            </w:r>
          </w:p>
        </w:tc>
        <w:tc>
          <w:tcPr>
            <w:tcW w:w="4496" w:type="dxa"/>
          </w:tcPr>
          <w:p w14:paraId="51E419B4">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企业全称</w:t>
            </w:r>
          </w:p>
        </w:tc>
      </w:tr>
      <w:tr w14:paraId="4BB5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2BEC2EF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统一社会信用代码</w:t>
            </w:r>
          </w:p>
        </w:tc>
        <w:tc>
          <w:tcPr>
            <w:tcW w:w="4496" w:type="dxa"/>
          </w:tcPr>
          <w:p w14:paraId="6DEB3C9C">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18 位</w:t>
            </w:r>
          </w:p>
        </w:tc>
      </w:tr>
      <w:tr w14:paraId="01A9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0CEC3FCF">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项目名称</w:t>
            </w:r>
          </w:p>
        </w:tc>
        <w:tc>
          <w:tcPr>
            <w:tcW w:w="4496" w:type="dxa"/>
          </w:tcPr>
          <w:p w14:paraId="1DE5D6FC">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完整名称</w:t>
            </w:r>
          </w:p>
        </w:tc>
      </w:tr>
      <w:tr w14:paraId="40E33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7D6AEDC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支持方式</w:t>
            </w:r>
          </w:p>
        </w:tc>
        <w:tc>
          <w:tcPr>
            <w:tcW w:w="4496" w:type="dxa"/>
          </w:tcPr>
          <w:p w14:paraId="170A7CF3">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设备奖励 /保险 / 融资租赁（可多选）</w:t>
            </w:r>
          </w:p>
        </w:tc>
      </w:tr>
      <w:tr w14:paraId="02BF9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1A8AD177">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项目属地</w:t>
            </w:r>
          </w:p>
        </w:tc>
        <w:tc>
          <w:tcPr>
            <w:tcW w:w="4496" w:type="dxa"/>
          </w:tcPr>
          <w:p w14:paraId="3BA32D1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县/区</w:t>
            </w:r>
          </w:p>
        </w:tc>
      </w:tr>
      <w:tr w14:paraId="5F44F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4E74A33A">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联系人</w:t>
            </w:r>
          </w:p>
        </w:tc>
        <w:tc>
          <w:tcPr>
            <w:tcW w:w="4496" w:type="dxa"/>
          </w:tcPr>
          <w:p w14:paraId="48CDE73D">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姓名 + 手机</w:t>
            </w:r>
          </w:p>
        </w:tc>
      </w:tr>
      <w:tr w14:paraId="2B78C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0512B7B1">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受理日期</w:t>
            </w:r>
          </w:p>
        </w:tc>
        <w:tc>
          <w:tcPr>
            <w:tcW w:w="4496" w:type="dxa"/>
          </w:tcPr>
          <w:p w14:paraId="19D9A64D">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YYYY-MM-DD</w:t>
            </w:r>
          </w:p>
        </w:tc>
      </w:tr>
      <w:tr w14:paraId="5B861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43C13E8A">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受理人</w:t>
            </w:r>
          </w:p>
        </w:tc>
        <w:tc>
          <w:tcPr>
            <w:tcW w:w="4496" w:type="dxa"/>
          </w:tcPr>
          <w:p w14:paraId="4096010B">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窗口工作人员姓名</w:t>
            </w:r>
          </w:p>
        </w:tc>
      </w:tr>
      <w:tr w14:paraId="6E47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00458DDF">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形式审查结果</w:t>
            </w:r>
          </w:p>
        </w:tc>
        <w:tc>
          <w:tcPr>
            <w:tcW w:w="4496" w:type="dxa"/>
          </w:tcPr>
          <w:p w14:paraId="30A8EA3A">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通过 / 退回补正 / 不予受理</w:t>
            </w:r>
          </w:p>
        </w:tc>
      </w:tr>
      <w:tr w14:paraId="66E6A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6" w:type="dxa"/>
          </w:tcPr>
          <w:p w14:paraId="7CE3A7AC">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c>
          <w:tcPr>
            <w:tcW w:w="4496" w:type="dxa"/>
          </w:tcPr>
          <w:p w14:paraId="388BA1C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特殊情况记录</w:t>
            </w:r>
          </w:p>
        </w:tc>
      </w:tr>
    </w:tbl>
    <w:p w14:paraId="64D53D3F">
      <w:pPr>
        <w:pStyle w:val="6"/>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步骤 5：形式审查</w:t>
      </w:r>
    </w:p>
    <w:p w14:paraId="6385FB7B">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申报条件快速核验表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逐项审查：</w:t>
      </w:r>
    </w:p>
    <w:p w14:paraId="137B64C1">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1. </w:t>
      </w:r>
      <w:r>
        <w:rPr>
          <w:rFonts w:hint="eastAsia" w:ascii="仿宋" w:hAnsi="仿宋" w:eastAsia="仿宋" w:cs="仿宋"/>
          <w:b/>
          <w:color w:val="auto"/>
          <w:sz w:val="32"/>
          <w:szCs w:val="32"/>
        </w:rPr>
        <w:t>主体资格</w:t>
      </w:r>
      <w:r>
        <w:rPr>
          <w:rFonts w:hint="eastAsia" w:ascii="仿宋" w:hAnsi="仿宋" w:eastAsia="仿宋" w:cs="仿宋"/>
          <w:color w:val="auto"/>
          <w:sz w:val="32"/>
          <w:szCs w:val="32"/>
        </w:rPr>
        <w:t>核验</w:t>
      </w:r>
    </w:p>
    <w:p w14:paraId="24D7EE9B">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国家企业信用信息公示系统（gsxt.gov.cn）查验登记状态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信用中国</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（creditchina.gov.cn）查验是否严重失信</w:t>
      </w:r>
      <w:r>
        <w:rPr>
          <w:rFonts w:hint="eastAsia" w:ascii="仿宋" w:hAnsi="仿宋" w:eastAsia="仿宋" w:cs="仿宋"/>
          <w:color w:val="auto"/>
          <w:sz w:val="32"/>
          <w:szCs w:val="32"/>
          <w:lang w:eastAsia="zh-CN"/>
        </w:rPr>
        <w:t>。</w:t>
      </w:r>
    </w:p>
    <w:p w14:paraId="4066507C">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2. </w:t>
      </w:r>
      <w:r>
        <w:rPr>
          <w:rFonts w:hint="eastAsia" w:ascii="仿宋" w:hAnsi="仿宋" w:eastAsia="仿宋" w:cs="仿宋"/>
          <w:b/>
          <w:color w:val="auto"/>
          <w:sz w:val="32"/>
          <w:szCs w:val="32"/>
        </w:rPr>
        <w:t>备案文件</w:t>
      </w:r>
      <w:r>
        <w:rPr>
          <w:rFonts w:hint="eastAsia" w:ascii="仿宋" w:hAnsi="仿宋" w:eastAsia="仿宋" w:cs="仿宋"/>
          <w:color w:val="auto"/>
          <w:sz w:val="32"/>
          <w:szCs w:val="32"/>
        </w:rPr>
        <w:t>核验</w:t>
      </w:r>
    </w:p>
    <w:p w14:paraId="593557F4">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与广东省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数字工信</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平台数据比对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核验建设期、完工日期</w:t>
      </w:r>
      <w:r>
        <w:rPr>
          <w:rFonts w:hint="eastAsia" w:ascii="仿宋" w:hAnsi="仿宋" w:eastAsia="仿宋" w:cs="仿宋"/>
          <w:color w:val="auto"/>
          <w:sz w:val="32"/>
          <w:szCs w:val="32"/>
          <w:lang w:eastAsia="zh-CN"/>
        </w:rPr>
        <w:t>。</w:t>
      </w:r>
    </w:p>
    <w:p w14:paraId="46794C49">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3. </w:t>
      </w:r>
      <w:r>
        <w:rPr>
          <w:rFonts w:hint="eastAsia" w:ascii="仿宋" w:hAnsi="仿宋" w:eastAsia="仿宋" w:cs="仿宋"/>
          <w:b/>
          <w:color w:val="auto"/>
          <w:sz w:val="32"/>
          <w:szCs w:val="32"/>
        </w:rPr>
        <w:t>完工时间</w:t>
      </w:r>
      <w:r>
        <w:rPr>
          <w:rFonts w:hint="eastAsia" w:ascii="仿宋" w:hAnsi="仿宋" w:eastAsia="仿宋" w:cs="仿宋"/>
          <w:color w:val="auto"/>
          <w:sz w:val="32"/>
          <w:szCs w:val="32"/>
        </w:rPr>
        <w:t>核验</w:t>
      </w:r>
    </w:p>
    <w:p w14:paraId="4CFC93B8">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设备发票、支付凭证、转固凭证日期</w:t>
      </w:r>
    </w:p>
    <w:p w14:paraId="2233C690">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项目竣工验收报告日期（如有）</w:t>
      </w:r>
    </w:p>
    <w:p w14:paraId="75EBD61B">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4. </w:t>
      </w:r>
      <w:r>
        <w:rPr>
          <w:rFonts w:hint="eastAsia" w:ascii="仿宋" w:hAnsi="仿宋" w:eastAsia="仿宋" w:cs="仿宋"/>
          <w:b/>
          <w:color w:val="auto"/>
          <w:sz w:val="32"/>
          <w:szCs w:val="32"/>
        </w:rPr>
        <w:t>金额核验</w:t>
      </w:r>
    </w:p>
    <w:p w14:paraId="2B5BABAB">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设备购置额 400 万 + 固定资产投资 500 万 +（设备奖励方式）</w:t>
      </w:r>
    </w:p>
    <w:p w14:paraId="6ED1BA05">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融资租赁合同 500 万 +（融资租赁方式）</w:t>
      </w:r>
    </w:p>
    <w:p w14:paraId="3A6F9DBB">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5. </w:t>
      </w:r>
      <w:r>
        <w:rPr>
          <w:rFonts w:hint="eastAsia" w:ascii="仿宋" w:hAnsi="仿宋" w:eastAsia="仿宋" w:cs="仿宋"/>
          <w:b/>
          <w:color w:val="auto"/>
          <w:sz w:val="32"/>
          <w:szCs w:val="32"/>
        </w:rPr>
        <w:t>材料完整性</w:t>
      </w:r>
      <w:r>
        <w:rPr>
          <w:rFonts w:hint="eastAsia" w:ascii="仿宋" w:hAnsi="仿宋" w:eastAsia="仿宋" w:cs="仿宋"/>
          <w:color w:val="auto"/>
          <w:sz w:val="32"/>
          <w:szCs w:val="32"/>
        </w:rPr>
        <w:t>核验</w:t>
      </w:r>
    </w:p>
    <w:p w14:paraId="0AE258E5">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通用材料 8 项 + 对应方式专项材料</w:t>
      </w:r>
    </w:p>
    <w:p w14:paraId="50A79AAE">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审查结论：</w:t>
      </w:r>
    </w:p>
    <w:p w14:paraId="7166874D">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w:t>
      </w:r>
      <w:r>
        <w:rPr>
          <w:rFonts w:hint="eastAsia" w:ascii="仿宋" w:hAnsi="仿宋" w:eastAsia="仿宋" w:cs="仿宋"/>
          <w:b/>
          <w:color w:val="auto"/>
          <w:sz w:val="32"/>
          <w:szCs w:val="32"/>
        </w:rPr>
        <w:t>通过</w:t>
      </w:r>
      <w:r>
        <w:rPr>
          <w:rFonts w:hint="eastAsia" w:ascii="仿宋" w:hAnsi="仿宋" w:eastAsia="仿宋" w:cs="仿宋"/>
          <w:color w:val="auto"/>
          <w:sz w:val="32"/>
          <w:szCs w:val="32"/>
        </w:rPr>
        <w:t>：系统录入，转初审</w:t>
      </w:r>
    </w:p>
    <w:p w14:paraId="12D26F97">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w:t>
      </w:r>
      <w:r>
        <w:rPr>
          <w:rFonts w:hint="eastAsia" w:ascii="仿宋" w:hAnsi="仿宋" w:eastAsia="仿宋" w:cs="仿宋"/>
          <w:b/>
          <w:color w:val="auto"/>
          <w:sz w:val="32"/>
          <w:szCs w:val="32"/>
        </w:rPr>
        <w:t>补正</w:t>
      </w:r>
      <w:r>
        <w:rPr>
          <w:rFonts w:hint="eastAsia" w:ascii="仿宋" w:hAnsi="仿宋" w:eastAsia="仿宋" w:cs="仿宋"/>
          <w:color w:val="auto"/>
          <w:sz w:val="32"/>
          <w:szCs w:val="32"/>
        </w:rPr>
        <w:t>：出具《补正告知书》，列明具体补正项</w:t>
      </w:r>
    </w:p>
    <w:p w14:paraId="47B76FB5">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 </w:t>
      </w:r>
      <w:r>
        <w:rPr>
          <w:rFonts w:hint="eastAsia" w:ascii="仿宋" w:hAnsi="仿宋" w:eastAsia="仿宋" w:cs="仿宋"/>
          <w:b/>
          <w:color w:val="auto"/>
          <w:sz w:val="32"/>
          <w:szCs w:val="32"/>
        </w:rPr>
        <w:t>不予受理</w:t>
      </w:r>
      <w:r>
        <w:rPr>
          <w:rFonts w:hint="eastAsia" w:ascii="仿宋" w:hAnsi="仿宋" w:eastAsia="仿宋" w:cs="仿宋"/>
          <w:color w:val="auto"/>
          <w:sz w:val="32"/>
          <w:szCs w:val="32"/>
        </w:rPr>
        <w:t>：出具《不予受理告知书》，列明具体原因，告知复议权利</w:t>
      </w:r>
    </w:p>
    <w:p w14:paraId="3C651FBE">
      <w:pPr>
        <w:pStyle w:val="6"/>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步骤 6：系统录入</w:t>
      </w:r>
    </w:p>
    <w:p w14:paraId="27E86627">
      <w:pPr>
        <w:pageBreakBefore w:val="0"/>
        <w:widowControl/>
        <w:kinsoku/>
        <w:wordWrap/>
        <w:overflowPunct/>
        <w:topLinePunct w:val="0"/>
        <w:autoSpaceDE/>
        <w:autoSpaceDN/>
        <w:bidi w:val="0"/>
        <w:adjustRightInd/>
        <w:snapToGrid/>
        <w:spacing w:after="0" w:line="240" w:lineRule="auto"/>
        <w:ind w:left="638" w:leftChars="29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登录</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数字工信</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平台（https://gdii.gd.gov.cn/szgx/）：</w:t>
      </w:r>
    </w:p>
    <w:p w14:paraId="56964044">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 在受理时限内</w:t>
      </w:r>
      <w:r>
        <w:rPr>
          <w:rFonts w:hint="eastAsia" w:ascii="仿宋" w:hAnsi="仿宋" w:eastAsia="仿宋" w:cs="仿宋"/>
          <w:b/>
          <w:color w:val="auto"/>
          <w:sz w:val="32"/>
          <w:szCs w:val="32"/>
        </w:rPr>
        <w:t>在线提交</w:t>
      </w:r>
      <w:r>
        <w:rPr>
          <w:rFonts w:hint="eastAsia" w:ascii="仿宋" w:hAnsi="仿宋" w:eastAsia="仿宋" w:cs="仿宋"/>
          <w:color w:val="auto"/>
          <w:sz w:val="32"/>
          <w:szCs w:val="32"/>
        </w:rPr>
        <w:t>项目申请资料</w:t>
      </w:r>
    </w:p>
    <w:p w14:paraId="077D7A0D">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 扫描上传主要材料</w:t>
      </w:r>
    </w:p>
    <w:p w14:paraId="7043CA83">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 选择</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所属地市</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河源市</w:t>
      </w:r>
    </w:p>
    <w:p w14:paraId="5826762D">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 选择</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所属县/区</w:t>
      </w:r>
      <w:r>
        <w:rPr>
          <w:rFonts w:hint="eastAsia" w:ascii="仿宋" w:hAnsi="仿宋" w:eastAsia="仿宋" w:cs="仿宋"/>
          <w:color w:val="auto"/>
          <w:sz w:val="32"/>
          <w:szCs w:val="32"/>
          <w:lang w:eastAsia="zh-CN"/>
        </w:rPr>
        <w:t>”</w:t>
      </w:r>
    </w:p>
    <w:p w14:paraId="275B948D">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 勾选支持方式</w:t>
      </w:r>
    </w:p>
    <w:p w14:paraId="4AEB94AE">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6. 填写项目申请表所有字段</w:t>
      </w:r>
    </w:p>
    <w:p w14:paraId="393C1F1F">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7. </w:t>
      </w:r>
      <w:r>
        <w:rPr>
          <w:rFonts w:hint="eastAsia" w:ascii="仿宋" w:hAnsi="仿宋" w:eastAsia="仿宋" w:cs="仿宋"/>
          <w:b/>
          <w:color w:val="auto"/>
          <w:sz w:val="32"/>
          <w:szCs w:val="32"/>
        </w:rPr>
        <w:t>保存并提交</w:t>
      </w:r>
    </w:p>
    <w:p w14:paraId="12E0EEF7">
      <w:pPr>
        <w:pStyle w:val="6"/>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步骤 7：转交初审</w:t>
      </w:r>
    </w:p>
    <w:p w14:paraId="6F794F4B">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形式审查通过 + 系统提交后，将纸质材料转交</w:t>
      </w:r>
      <w:r>
        <w:rPr>
          <w:rFonts w:hint="eastAsia" w:ascii="仿宋" w:hAnsi="仿宋" w:eastAsia="仿宋" w:cs="仿宋"/>
          <w:color w:val="auto"/>
          <w:sz w:val="32"/>
          <w:szCs w:val="32"/>
          <w:lang w:val="en-US" w:eastAsia="zh-CN"/>
        </w:rPr>
        <w:t>县区工信部门</w:t>
      </w:r>
    </w:p>
    <w:p w14:paraId="4A0679CC">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填写《材料交接清单》，双方签字</w:t>
      </w:r>
    </w:p>
    <w:p w14:paraId="11E8874F">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系统提交后由</w:t>
      </w:r>
      <w:r>
        <w:rPr>
          <w:rFonts w:hint="eastAsia" w:ascii="仿宋" w:hAnsi="仿宋" w:eastAsia="仿宋" w:cs="仿宋"/>
          <w:color w:val="auto"/>
          <w:sz w:val="32"/>
          <w:szCs w:val="32"/>
          <w:lang w:val="en-US" w:eastAsia="zh-CN"/>
        </w:rPr>
        <w:t>县区工信部门</w:t>
      </w:r>
      <w:r>
        <w:rPr>
          <w:rFonts w:hint="eastAsia" w:ascii="仿宋" w:hAnsi="仿宋" w:eastAsia="仿宋" w:cs="仿宋"/>
          <w:color w:val="auto"/>
          <w:sz w:val="32"/>
          <w:szCs w:val="32"/>
        </w:rPr>
        <w:t>开展实质性初审</w:t>
      </w:r>
    </w:p>
    <w:p w14:paraId="4F30C8C2">
      <w:pPr>
        <w:pStyle w:val="4"/>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六、窗口工作要求</w:t>
      </w:r>
    </w:p>
    <w:p w14:paraId="5F09DDC6">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.1 服务规范</w:t>
      </w:r>
    </w:p>
    <w:p w14:paraId="7B8577FA">
      <w:pPr>
        <w:pageBreakBefore w:val="0"/>
        <w:widowControl/>
        <w:kinsoku/>
        <w:wordWrap/>
        <w:overflowPunct/>
        <w:topLinePunct w:val="0"/>
        <w:autoSpaceDE/>
        <w:autoSpaceDN/>
        <w:bidi w:val="0"/>
        <w:adjustRightInd/>
        <w:snapToGrid/>
        <w:spacing w:after="0" w:line="240" w:lineRule="auto"/>
        <w:ind w:left="0"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color w:val="auto"/>
          <w:sz w:val="32"/>
          <w:szCs w:val="32"/>
        </w:rPr>
        <w:t>首问负责</w:t>
      </w:r>
      <w:r>
        <w:rPr>
          <w:rFonts w:hint="eastAsia" w:ascii="仿宋" w:hAnsi="仿宋" w:eastAsia="仿宋" w:cs="仿宋"/>
          <w:color w:val="auto"/>
          <w:sz w:val="32"/>
          <w:szCs w:val="32"/>
        </w:rPr>
        <w:t>：第一位接待的工作人员负责到底或完成转交</w:t>
      </w:r>
      <w:r>
        <w:rPr>
          <w:rFonts w:hint="eastAsia" w:ascii="仿宋" w:hAnsi="仿宋" w:eastAsia="仿宋" w:cs="仿宋"/>
          <w:color w:val="auto"/>
          <w:sz w:val="32"/>
          <w:szCs w:val="32"/>
          <w:lang w:eastAsia="zh-CN"/>
        </w:rPr>
        <w:t>工作</w:t>
      </w:r>
    </w:p>
    <w:p w14:paraId="6FEBB9D7">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一次性告知</w:t>
      </w:r>
      <w:r>
        <w:rPr>
          <w:rFonts w:hint="eastAsia" w:ascii="仿宋" w:hAnsi="仿宋" w:eastAsia="仿宋" w:cs="仿宋"/>
          <w:color w:val="auto"/>
          <w:sz w:val="32"/>
          <w:szCs w:val="32"/>
        </w:rPr>
        <w:t>：列出所有缺件，避免企业反复跑</w:t>
      </w:r>
    </w:p>
    <w:p w14:paraId="2BA6D426">
      <w:pPr>
        <w:pageBreakBefore w:val="0"/>
        <w:widowControl/>
        <w:kinsoku/>
        <w:wordWrap/>
        <w:overflowPunct/>
        <w:topLinePunct w:val="0"/>
        <w:autoSpaceDE/>
        <w:autoSpaceDN/>
        <w:bidi w:val="0"/>
        <w:adjustRightInd/>
        <w:snapToGrid/>
        <w:spacing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b/>
          <w:color w:val="auto"/>
          <w:sz w:val="32"/>
          <w:szCs w:val="32"/>
        </w:rPr>
        <w:t>限时办结</w:t>
      </w:r>
      <w:r>
        <w:rPr>
          <w:rFonts w:hint="eastAsia" w:ascii="仿宋" w:hAnsi="仿宋" w:eastAsia="仿宋" w:cs="仿宋"/>
          <w:color w:val="auto"/>
          <w:sz w:val="32"/>
          <w:szCs w:val="32"/>
        </w:rPr>
        <w:t xml:space="preserve">：形式审查原则上 </w:t>
      </w:r>
      <w:r>
        <w:rPr>
          <w:rFonts w:hint="eastAsia" w:ascii="仿宋" w:hAnsi="仿宋" w:eastAsia="仿宋" w:cs="仿宋"/>
          <w:b/>
          <w:color w:val="auto"/>
          <w:sz w:val="32"/>
          <w:szCs w:val="32"/>
          <w:lang w:val="en-US" w:eastAsia="zh-CN"/>
        </w:rPr>
        <w:t>2</w:t>
      </w:r>
      <w:r>
        <w:rPr>
          <w:rFonts w:hint="eastAsia" w:ascii="仿宋" w:hAnsi="仿宋" w:eastAsia="仿宋" w:cs="仿宋"/>
          <w:b/>
          <w:color w:val="auto"/>
          <w:sz w:val="32"/>
          <w:szCs w:val="32"/>
        </w:rPr>
        <w:t>个工作日</w:t>
      </w:r>
      <w:r>
        <w:rPr>
          <w:rFonts w:hint="eastAsia" w:ascii="仿宋" w:hAnsi="仿宋" w:eastAsia="仿宋" w:cs="仿宋"/>
          <w:color w:val="auto"/>
          <w:sz w:val="32"/>
          <w:szCs w:val="32"/>
        </w:rPr>
        <w:t>内完成</w:t>
      </w:r>
    </w:p>
    <w:p w14:paraId="6D238048">
      <w:pPr>
        <w:pageBreakBefore w:val="0"/>
        <w:widowControl/>
        <w:kinsoku/>
        <w:wordWrap/>
        <w:overflowPunct/>
        <w:topLinePunct w:val="0"/>
        <w:autoSpaceDE/>
        <w:autoSpaceDN/>
        <w:bidi w:val="0"/>
        <w:adjustRightInd/>
        <w:snapToGrid/>
        <w:spacing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b/>
          <w:color w:val="auto"/>
          <w:sz w:val="32"/>
          <w:szCs w:val="32"/>
        </w:rPr>
        <w:t>保密义务</w:t>
      </w:r>
      <w:r>
        <w:rPr>
          <w:rFonts w:hint="eastAsia" w:ascii="仿宋" w:hAnsi="仿宋" w:eastAsia="仿宋" w:cs="仿宋"/>
          <w:color w:val="auto"/>
          <w:sz w:val="32"/>
          <w:szCs w:val="32"/>
        </w:rPr>
        <w:t>：未经权利人许可，不得披露项目单位商业和技术秘密</w:t>
      </w:r>
    </w:p>
    <w:p w14:paraId="2C685865">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b/>
          <w:color w:val="auto"/>
          <w:sz w:val="32"/>
          <w:szCs w:val="32"/>
        </w:rPr>
        <w:t>廉洁纪律</w:t>
      </w:r>
      <w:r>
        <w:rPr>
          <w:rFonts w:hint="eastAsia" w:ascii="仿宋" w:hAnsi="仿宋" w:eastAsia="仿宋" w:cs="仿宋"/>
          <w:color w:val="auto"/>
          <w:sz w:val="32"/>
          <w:szCs w:val="32"/>
        </w:rPr>
        <w:t>：严禁接受企业宴请、礼品、礼金；严禁推荐第三方代理</w:t>
      </w:r>
    </w:p>
    <w:p w14:paraId="690FEF22">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.2 档案管理</w:t>
      </w:r>
    </w:p>
    <w:p w14:paraId="02EC2C39">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申报材料按受理编号归档</w:t>
      </w:r>
    </w:p>
    <w:p w14:paraId="0FFDF080">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台账电子化 + 纸质化双轨保存</w:t>
      </w:r>
    </w:p>
    <w:p w14:paraId="66C7CA1C">
      <w:pPr>
        <w:pageBreakBefore w:val="0"/>
        <w:widowControl/>
        <w:kinsoku/>
        <w:wordWrap/>
        <w:overflowPunct/>
        <w:topLinePunct w:val="0"/>
        <w:autoSpaceDE/>
        <w:autoSpaceDN/>
        <w:bidi w:val="0"/>
        <w:adjustRightInd/>
        <w:snapToGrid/>
        <w:spacing w:after="0" w:line="240" w:lineRule="auto"/>
        <w:ind w:firstLine="320" w:firstLineChars="1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电子材料每月备份</w:t>
      </w:r>
    </w:p>
    <w:p w14:paraId="14BADBAC">
      <w:pPr>
        <w:pStyle w:val="5"/>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.3 异常情况处置</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56"/>
        <w:gridCol w:w="4156"/>
      </w:tblGrid>
      <w:tr w14:paraId="613F8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shd w:val="clear" w:color="auto" w:fill="F2F2F2"/>
          </w:tcPr>
          <w:p w14:paraId="62BD7FEB">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异常情形</w:t>
            </w:r>
          </w:p>
        </w:tc>
        <w:tc>
          <w:tcPr>
            <w:tcW w:w="4156" w:type="dxa"/>
            <w:shd w:val="clear" w:color="auto" w:fill="F2F2F2"/>
          </w:tcPr>
          <w:p w14:paraId="4DD4E883">
            <w:pPr>
              <w:pageBreakBefore w:val="0"/>
              <w:widowControl/>
              <w:kinsoku/>
              <w:wordWrap/>
              <w:overflowPunct/>
              <w:topLinePunct w:val="0"/>
              <w:autoSpaceDE/>
              <w:autoSpaceDN/>
              <w:bidi w:val="0"/>
              <w:adjustRightInd/>
              <w:snapToGrid/>
              <w:spacing w:after="0" w:line="240" w:lineRule="auto"/>
              <w:ind w:left="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处置方式</w:t>
            </w:r>
          </w:p>
        </w:tc>
      </w:tr>
      <w:tr w14:paraId="6524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266C506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材料涉嫌造假</w:t>
            </w:r>
          </w:p>
        </w:tc>
        <w:tc>
          <w:tcPr>
            <w:tcW w:w="4156" w:type="dxa"/>
          </w:tcPr>
          <w:p w14:paraId="34583EE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立即停止受理，报告业务科室 + 法规科</w:t>
            </w:r>
          </w:p>
        </w:tc>
      </w:tr>
      <w:tr w14:paraId="6ACE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06B5024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系统故障</w:t>
            </w:r>
          </w:p>
        </w:tc>
        <w:tc>
          <w:tcPr>
            <w:tcW w:w="4156" w:type="dxa"/>
          </w:tcPr>
          <w:p w14:paraId="3E53E3C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联系平台技术（13660514144 / 13609085751），同时报告局领导</w:t>
            </w:r>
          </w:p>
        </w:tc>
      </w:tr>
      <w:tr w14:paraId="6085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57FA4DF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临近截止集中申报</w:t>
            </w:r>
          </w:p>
        </w:tc>
        <w:tc>
          <w:tcPr>
            <w:tcW w:w="4156" w:type="dxa"/>
          </w:tcPr>
          <w:p w14:paraId="50CC5612">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启动延时服务、预约受理、临时增援</w:t>
            </w:r>
          </w:p>
        </w:tc>
      </w:tr>
      <w:tr w14:paraId="325F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33F22107">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企业投诉</w:t>
            </w:r>
          </w:p>
        </w:tc>
        <w:tc>
          <w:tcPr>
            <w:tcW w:w="4156" w:type="dxa"/>
          </w:tcPr>
          <w:p w14:paraId="756F7240">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登记后转局纪检/法规科</w:t>
            </w:r>
          </w:p>
        </w:tc>
      </w:tr>
      <w:tr w14:paraId="48A1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56" w:type="dxa"/>
          </w:tcPr>
          <w:p w14:paraId="57011105">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现场排队过长</w:t>
            </w:r>
          </w:p>
        </w:tc>
        <w:tc>
          <w:tcPr>
            <w:tcW w:w="4156" w:type="dxa"/>
          </w:tcPr>
          <w:p w14:paraId="27BA312E">
            <w:pPr>
              <w:pageBreakBefore w:val="0"/>
              <w:widowControl/>
              <w:kinsoku/>
              <w:wordWrap/>
              <w:overflowPunct/>
              <w:topLinePunct w:val="0"/>
              <w:autoSpaceDE/>
              <w:autoSpaceDN/>
              <w:bidi w:val="0"/>
              <w:adjustRightInd/>
              <w:snapToGrid/>
              <w:spacing w:after="0" w:line="240" w:lineRule="auto"/>
              <w:ind w:left="0" w:firstLine="0" w:firstLineChars="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启用叫号系统 + 增设临时窗口</w:t>
            </w:r>
          </w:p>
        </w:tc>
      </w:tr>
    </w:tbl>
    <w:p w14:paraId="4C8BF9F7">
      <w:pPr>
        <w:pStyle w:val="4"/>
        <w:pageBreakBefore w:val="0"/>
        <w:widowControl/>
        <w:kinsoku/>
        <w:wordWrap/>
        <w:overflowPunct/>
        <w:topLinePunct w:val="0"/>
        <w:autoSpaceDE/>
        <w:autoSpaceDN/>
        <w:bidi w:val="0"/>
        <w:adjustRightInd/>
        <w:snapToGrid/>
        <w:spacing w:before="0" w:after="0" w:line="240" w:lineRule="auto"/>
        <w:ind w:left="0" w:firstLine="643"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七</w:t>
      </w:r>
      <w:r>
        <w:rPr>
          <w:rFonts w:hint="eastAsia" w:ascii="仿宋" w:hAnsi="仿宋" w:eastAsia="仿宋" w:cs="仿宋"/>
          <w:color w:val="auto"/>
          <w:sz w:val="32"/>
          <w:szCs w:val="32"/>
        </w:rPr>
        <w:t>、禁止性规定（必须告知企业）</w:t>
      </w:r>
    </w:p>
    <w:p w14:paraId="6B86DB9F">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1. </w:t>
      </w:r>
      <w:r>
        <w:rPr>
          <w:rFonts w:hint="eastAsia" w:ascii="仿宋" w:hAnsi="仿宋" w:eastAsia="仿宋" w:cs="仿宋"/>
          <w:b/>
          <w:color w:val="auto"/>
          <w:sz w:val="32"/>
          <w:szCs w:val="32"/>
        </w:rPr>
        <w:t>禁止任何机构或个人代理项目申报</w:t>
      </w:r>
    </w:p>
    <w:p w14:paraId="40449759">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2. </w:t>
      </w:r>
      <w:r>
        <w:rPr>
          <w:rFonts w:hint="eastAsia" w:ascii="仿宋" w:hAnsi="仿宋" w:eastAsia="仿宋" w:cs="仿宋"/>
          <w:b/>
          <w:color w:val="auto"/>
          <w:sz w:val="32"/>
          <w:szCs w:val="32"/>
        </w:rPr>
        <w:t>严禁委托第三方代理申报</w:t>
      </w:r>
      <w:r>
        <w:rPr>
          <w:rFonts w:hint="eastAsia" w:ascii="仿宋" w:hAnsi="仿宋" w:eastAsia="仿宋" w:cs="仿宋"/>
          <w:color w:val="auto"/>
          <w:sz w:val="32"/>
          <w:szCs w:val="32"/>
        </w:rPr>
        <w:t>，企业一旦委托，将纳入信用记录</w:t>
      </w:r>
    </w:p>
    <w:p w14:paraId="5136CCFF">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3. </w:t>
      </w:r>
      <w:r>
        <w:rPr>
          <w:rFonts w:hint="eastAsia" w:ascii="仿宋" w:hAnsi="仿宋" w:eastAsia="仿宋" w:cs="仿宋"/>
          <w:b/>
          <w:color w:val="auto"/>
          <w:sz w:val="32"/>
          <w:szCs w:val="32"/>
        </w:rPr>
        <w:t>专项资金不得用于支付第三方代理报酬</w:t>
      </w:r>
    </w:p>
    <w:p w14:paraId="21FFCE31">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4. </w:t>
      </w:r>
      <w:r>
        <w:rPr>
          <w:rFonts w:hint="eastAsia" w:ascii="仿宋" w:hAnsi="仿宋" w:eastAsia="仿宋" w:cs="仿宋"/>
          <w:b/>
          <w:color w:val="auto"/>
          <w:sz w:val="32"/>
          <w:szCs w:val="32"/>
        </w:rPr>
        <w:t>申报材料必须真实</w:t>
      </w:r>
      <w:r>
        <w:rPr>
          <w:rFonts w:hint="eastAsia" w:ascii="仿宋" w:hAnsi="仿宋" w:eastAsia="仿宋" w:cs="仿宋"/>
          <w:color w:val="auto"/>
          <w:sz w:val="32"/>
          <w:szCs w:val="32"/>
        </w:rPr>
        <w:t>，弄虚作假将追回资金、</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年内停止申报资格</w:t>
      </w:r>
    </w:p>
    <w:p w14:paraId="64C5D74C">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5. </w:t>
      </w:r>
      <w:r>
        <w:rPr>
          <w:rFonts w:hint="eastAsia" w:ascii="仿宋" w:hAnsi="仿宋" w:eastAsia="仿宋" w:cs="仿宋"/>
          <w:b/>
          <w:color w:val="auto"/>
          <w:sz w:val="32"/>
          <w:szCs w:val="32"/>
        </w:rPr>
        <w:t>项目及申报奖励设备未获省工信领域财政资金支持</w:t>
      </w:r>
      <w:r>
        <w:rPr>
          <w:rFonts w:hint="eastAsia" w:ascii="仿宋" w:hAnsi="仿宋" w:eastAsia="仿宋" w:cs="仿宋"/>
          <w:color w:val="auto"/>
          <w:sz w:val="32"/>
          <w:szCs w:val="32"/>
        </w:rPr>
        <w:t>（设备奖励方式）</w:t>
      </w:r>
    </w:p>
    <w:p w14:paraId="5D1BEB15">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6. </w:t>
      </w:r>
      <w:r>
        <w:rPr>
          <w:rFonts w:hint="eastAsia" w:ascii="仿宋" w:hAnsi="仿宋" w:eastAsia="仿宋" w:cs="仿宋"/>
          <w:b/>
          <w:color w:val="auto"/>
          <w:sz w:val="32"/>
          <w:szCs w:val="32"/>
        </w:rPr>
        <w:t>项目未获省级技改资金以外的省工信领域财政资金支持</w:t>
      </w:r>
      <w:r>
        <w:rPr>
          <w:rFonts w:hint="eastAsia" w:ascii="仿宋" w:hAnsi="仿宋" w:eastAsia="仿宋" w:cs="仿宋"/>
          <w:color w:val="auto"/>
          <w:sz w:val="32"/>
          <w:szCs w:val="32"/>
        </w:rPr>
        <w:t>（技改金融政策方式）</w:t>
      </w:r>
    </w:p>
    <w:p w14:paraId="0C816701">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7. </w:t>
      </w:r>
      <w:r>
        <w:rPr>
          <w:rFonts w:hint="eastAsia" w:ascii="仿宋" w:hAnsi="仿宋" w:eastAsia="仿宋" w:cs="仿宋"/>
          <w:b/>
          <w:color w:val="auto"/>
          <w:sz w:val="32"/>
          <w:szCs w:val="32"/>
        </w:rPr>
        <w:t>纳入</w:t>
      </w:r>
      <w:r>
        <w:rPr>
          <w:rFonts w:hint="eastAsia" w:ascii="仿宋" w:hAnsi="仿宋" w:eastAsia="仿宋" w:cs="仿宋"/>
          <w:b/>
          <w:color w:val="auto"/>
          <w:sz w:val="32"/>
          <w:szCs w:val="32"/>
          <w:lang w:eastAsia="zh-CN"/>
        </w:rPr>
        <w:t>“</w:t>
      </w:r>
      <w:r>
        <w:rPr>
          <w:rFonts w:hint="eastAsia" w:ascii="仿宋" w:hAnsi="仿宋" w:eastAsia="仿宋" w:cs="仿宋"/>
          <w:b/>
          <w:color w:val="auto"/>
          <w:sz w:val="32"/>
          <w:szCs w:val="32"/>
        </w:rPr>
        <w:t>信用中国</w:t>
      </w:r>
      <w:r>
        <w:rPr>
          <w:rFonts w:hint="eastAsia" w:ascii="仿宋" w:hAnsi="仿宋" w:eastAsia="仿宋" w:cs="仿宋"/>
          <w:b/>
          <w:color w:val="auto"/>
          <w:sz w:val="32"/>
          <w:szCs w:val="32"/>
          <w:lang w:eastAsia="zh-CN"/>
        </w:rPr>
        <w:t>”</w:t>
      </w:r>
      <w:r>
        <w:rPr>
          <w:rFonts w:hint="eastAsia" w:ascii="仿宋" w:hAnsi="仿宋" w:eastAsia="仿宋" w:cs="仿宋"/>
          <w:b/>
          <w:color w:val="auto"/>
          <w:sz w:val="32"/>
          <w:szCs w:val="32"/>
        </w:rPr>
        <w:t>严重失信主体名单的企业不予支持</w:t>
      </w:r>
    </w:p>
    <w:p w14:paraId="68410FD2">
      <w:pPr>
        <w:pStyle w:val="4"/>
        <w:pageBreakBefore w:val="0"/>
        <w:widowControl/>
        <w:kinsoku/>
        <w:wordWrap/>
        <w:overflowPunct/>
        <w:topLinePunct w:val="0"/>
        <w:autoSpaceDE/>
        <w:autoSpaceDN/>
        <w:bidi w:val="0"/>
        <w:adjustRightInd/>
        <w:snapToGrid/>
        <w:spacing w:before="0" w:after="0" w:line="240" w:lineRule="auto"/>
        <w:ind w:left="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val="en-US" w:eastAsia="zh-CN"/>
        </w:rPr>
        <w:t>八</w:t>
      </w:r>
      <w:r>
        <w:rPr>
          <w:rFonts w:hint="eastAsia" w:ascii="黑体" w:hAnsi="黑体" w:eastAsia="黑体" w:cs="黑体"/>
          <w:b w:val="0"/>
          <w:bCs w:val="0"/>
          <w:color w:val="auto"/>
          <w:sz w:val="32"/>
          <w:szCs w:val="32"/>
        </w:rPr>
        <w:t>、</w:t>
      </w:r>
      <w:r>
        <w:rPr>
          <w:rFonts w:hint="eastAsia" w:ascii="黑体" w:hAnsi="黑体" w:eastAsia="黑体" w:cs="黑体"/>
          <w:b w:val="0"/>
          <w:bCs w:val="0"/>
          <w:color w:val="auto"/>
          <w:sz w:val="32"/>
          <w:szCs w:val="32"/>
          <w:lang w:val="en-US" w:eastAsia="zh-CN"/>
        </w:rPr>
        <w:t>项目</w:t>
      </w:r>
      <w:r>
        <w:rPr>
          <w:rFonts w:hint="eastAsia" w:ascii="黑体" w:hAnsi="黑体" w:eastAsia="黑体" w:cs="黑体"/>
          <w:b w:val="0"/>
          <w:bCs w:val="0"/>
          <w:color w:val="auto"/>
          <w:sz w:val="32"/>
          <w:szCs w:val="32"/>
        </w:rPr>
        <w:t>材料清单（核验时同步收取）</w:t>
      </w:r>
    </w:p>
    <w:p w14:paraId="7DDC53C5">
      <w:pPr>
        <w:pageBreakBefore w:val="0"/>
        <w:widowControl/>
        <w:kinsoku/>
        <w:wordWrap/>
        <w:overflowPunct/>
        <w:topLinePunct w:val="0"/>
        <w:autoSpaceDE/>
        <w:autoSpaceDN/>
        <w:bidi w:val="0"/>
        <w:adjustRightInd/>
        <w:snapToGrid/>
        <w:spacing w:after="0" w:line="240" w:lineRule="auto"/>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窗口应同步</w:t>
      </w:r>
      <w:r>
        <w:rPr>
          <w:rFonts w:hint="eastAsia" w:ascii="仿宋" w:hAnsi="仿宋" w:eastAsia="仿宋" w:cs="仿宋"/>
          <w:color w:val="auto"/>
          <w:sz w:val="32"/>
          <w:szCs w:val="32"/>
          <w:lang w:eastAsia="zh-CN"/>
        </w:rPr>
        <w:t>接收</w:t>
      </w:r>
      <w:r>
        <w:rPr>
          <w:rFonts w:hint="eastAsia" w:ascii="仿宋" w:hAnsi="仿宋" w:eastAsia="仿宋" w:cs="仿宋"/>
          <w:color w:val="auto"/>
          <w:sz w:val="32"/>
          <w:szCs w:val="32"/>
          <w:lang w:val="en-US" w:eastAsia="zh-CN"/>
        </w:rPr>
        <w:t>项目</w:t>
      </w:r>
      <w:r>
        <w:rPr>
          <w:rFonts w:hint="eastAsia" w:ascii="仿宋" w:hAnsi="仿宋" w:eastAsia="仿宋" w:cs="仿宋"/>
          <w:color w:val="auto"/>
          <w:sz w:val="32"/>
          <w:szCs w:val="32"/>
        </w:rPr>
        <w:t>的电子版，用于后续管理</w:t>
      </w:r>
      <w:r>
        <w:rPr>
          <w:rFonts w:hint="eastAsia" w:ascii="仿宋" w:hAnsi="仿宋" w:eastAsia="仿宋" w:cs="仿宋"/>
          <w:color w:val="auto"/>
          <w:sz w:val="32"/>
          <w:szCs w:val="32"/>
          <w:lang w:eastAsia="zh-CN"/>
        </w:rPr>
        <w:t>。</w:t>
      </w:r>
    </w:p>
    <w:p w14:paraId="7D54E73C">
      <w:pPr>
        <w:pStyle w:val="4"/>
        <w:pageBreakBefore w:val="0"/>
        <w:widowControl/>
        <w:kinsoku/>
        <w:wordWrap/>
        <w:overflowPunct/>
        <w:topLinePunct w:val="0"/>
        <w:autoSpaceDE/>
        <w:autoSpaceDN/>
        <w:bidi w:val="0"/>
        <w:adjustRightInd/>
        <w:snapToGrid/>
        <w:spacing w:before="0" w:after="0" w:line="240" w:lineRule="auto"/>
        <w:ind w:left="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val="en-US" w:eastAsia="zh-CN"/>
        </w:rPr>
        <w:t>九</w:t>
      </w:r>
      <w:r>
        <w:rPr>
          <w:rFonts w:hint="eastAsia" w:ascii="黑体" w:hAnsi="黑体" w:eastAsia="黑体" w:cs="黑体"/>
          <w:b w:val="0"/>
          <w:bCs w:val="0"/>
          <w:color w:val="auto"/>
          <w:sz w:val="32"/>
          <w:szCs w:val="32"/>
        </w:rPr>
        <w:t>、联系方式</w:t>
      </w:r>
    </w:p>
    <w:p w14:paraId="5B4EA44E">
      <w:pPr>
        <w:pStyle w:val="5"/>
        <w:pageBreakBefore w:val="0"/>
        <w:widowControl/>
        <w:kinsoku/>
        <w:wordWrap/>
        <w:overflowPunct/>
        <w:topLinePunct w:val="0"/>
        <w:autoSpaceDE/>
        <w:autoSpaceDN/>
        <w:bidi w:val="0"/>
        <w:adjustRightInd/>
        <w:snapToGrid/>
        <w:spacing w:before="0" w:after="0" w:line="240" w:lineRule="auto"/>
        <w:ind w:left="0"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河源市工业和信息化局</w:t>
      </w:r>
      <w:r>
        <w:rPr>
          <w:rFonts w:hint="eastAsia" w:ascii="仿宋" w:hAnsi="仿宋" w:eastAsia="仿宋" w:cs="仿宋"/>
          <w:b w:val="0"/>
          <w:bCs w:val="0"/>
          <w:color w:val="auto"/>
          <w:sz w:val="32"/>
          <w:szCs w:val="32"/>
          <w:lang w:eastAsia="zh-CN"/>
        </w:rPr>
        <w:t>技术改造</w:t>
      </w:r>
      <w:r>
        <w:rPr>
          <w:rFonts w:hint="eastAsia" w:ascii="仿宋" w:hAnsi="仿宋" w:eastAsia="仿宋" w:cs="仿宋"/>
          <w:b w:val="0"/>
          <w:bCs w:val="0"/>
          <w:color w:val="auto"/>
          <w:sz w:val="32"/>
          <w:szCs w:val="32"/>
        </w:rPr>
        <w:t>与投资科联系人：何思东</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联系电话：0762-3885960</w:t>
      </w:r>
    </w:p>
    <w:p w14:paraId="2CAC94A5">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6C68E8DF">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17E5C538">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44B0ABD8">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44B0E619">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2972474F">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759B4522">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30B96F26">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49B2A5BF">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5131EBB8">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76E38C1E">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6C327446">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68A04D17">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54E8F566">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64657634">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2E8F4A82">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6094C184">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544E0E72">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2214C45F">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5D6AB69E">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0AE515BC">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15AB4A95">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6CCD09ED">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7A02759D">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5C4070C5">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287AB00E">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7C4514A8">
      <w:pPr>
        <w:pStyle w:val="4"/>
        <w:pageBreakBefore w:val="0"/>
        <w:widowControl/>
        <w:kinsoku/>
        <w:wordWrap/>
        <w:overflowPunct/>
        <w:topLinePunct w:val="0"/>
        <w:autoSpaceDE/>
        <w:autoSpaceDN/>
        <w:bidi w:val="0"/>
        <w:adjustRightInd/>
        <w:snapToGrid/>
        <w:spacing w:before="0" w:after="0" w:line="240" w:lineRule="auto"/>
        <w:ind w:left="0" w:firstLine="0" w:firstLineChars="0"/>
        <w:textAlignment w:val="auto"/>
        <w:rPr>
          <w:rFonts w:hint="eastAsia" w:ascii="仿宋" w:hAnsi="仿宋" w:eastAsia="仿宋" w:cs="仿宋"/>
          <w:color w:val="auto"/>
          <w:sz w:val="32"/>
          <w:szCs w:val="32"/>
        </w:rPr>
      </w:pPr>
    </w:p>
    <w:p w14:paraId="19C3E3DE">
      <w:pPr>
        <w:pStyle w:val="4"/>
        <w:pageBreakBefore w:val="0"/>
        <w:widowControl/>
        <w:kinsoku/>
        <w:wordWrap/>
        <w:overflowPunct/>
        <w:topLinePunct w:val="0"/>
        <w:autoSpaceDE/>
        <w:autoSpaceDN/>
        <w:bidi w:val="0"/>
        <w:adjustRightInd/>
        <w:snapToGrid/>
        <w:spacing w:before="0" w:after="0" w:line="240" w:lineRule="auto"/>
        <w:ind w:left="0" w:firstLine="0" w:firstLineChars="0"/>
        <w:textAlignment w:val="auto"/>
        <w:rPr>
          <w:rFonts w:hint="eastAsia" w:ascii="仿宋" w:hAnsi="仿宋" w:eastAsia="仿宋" w:cs="仿宋"/>
          <w:color w:val="auto"/>
          <w:sz w:val="32"/>
          <w:szCs w:val="32"/>
        </w:rPr>
      </w:pPr>
    </w:p>
    <w:p w14:paraId="20FEC4A6">
      <w:pPr>
        <w:pStyle w:val="4"/>
        <w:pageBreakBefore w:val="0"/>
        <w:widowControl/>
        <w:kinsoku/>
        <w:wordWrap/>
        <w:overflowPunct/>
        <w:topLinePunct w:val="0"/>
        <w:autoSpaceDE/>
        <w:autoSpaceDN/>
        <w:bidi w:val="0"/>
        <w:adjustRightInd/>
        <w:snapToGrid/>
        <w:spacing w:before="0"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附录 A：受理标准文书模板</w:t>
      </w:r>
    </w:p>
    <w:p w14:paraId="698C7958">
      <w:pPr>
        <w:pStyle w:val="5"/>
        <w:pageBreakBefore w:val="0"/>
        <w:widowControl/>
        <w:kinsoku/>
        <w:wordWrap/>
        <w:overflowPunct/>
        <w:topLinePunct w:val="0"/>
        <w:autoSpaceDE/>
        <w:autoSpaceDN/>
        <w:bidi w:val="0"/>
        <w:adjustRightInd/>
        <w:snapToGrid/>
        <w:spacing w:before="0" w:after="0" w:line="240" w:lineRule="auto"/>
        <w:ind w:left="0" w:firstLine="0" w:firstLineChars="0"/>
        <w:jc w:val="center"/>
        <w:textAlignment w:val="auto"/>
        <w:rPr>
          <w:rFonts w:hint="eastAsia" w:ascii="仿宋" w:hAnsi="仿宋" w:eastAsia="仿宋" w:cs="仿宋"/>
          <w:color w:val="auto"/>
          <w:sz w:val="32"/>
          <w:szCs w:val="32"/>
        </w:rPr>
      </w:pPr>
    </w:p>
    <w:p w14:paraId="1D1A8B89">
      <w:pPr>
        <w:pStyle w:val="5"/>
        <w:pageBreakBefore w:val="0"/>
        <w:widowControl/>
        <w:kinsoku/>
        <w:wordWrap/>
        <w:overflowPunct/>
        <w:topLinePunct w:val="0"/>
        <w:autoSpaceDE/>
        <w:autoSpaceDN/>
        <w:bidi w:val="0"/>
        <w:adjustRightInd/>
        <w:snapToGrid/>
        <w:spacing w:before="0" w:after="0" w:line="240" w:lineRule="auto"/>
        <w:ind w:left="0" w:firstLine="0" w:firstLineChars="0"/>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《材料预审通过单》</w:t>
      </w:r>
    </w:p>
    <w:p w14:paraId="3C07B19D">
      <w:pPr>
        <w:pageBreakBefore w:val="0"/>
        <w:widowControl/>
        <w:kinsoku/>
        <w:wordWrap/>
        <w:overflowPunct/>
        <w:topLinePunct w:val="0"/>
        <w:autoSpaceDE/>
        <w:autoSpaceDN/>
        <w:bidi w:val="0"/>
        <w:adjustRightInd/>
        <w:snapToGrid/>
        <w:spacing w:after="0" w:line="240" w:lineRule="auto"/>
        <w:ind w:left="0" w:firstLine="0" w:firstLineChars="0"/>
        <w:textAlignment w:val="auto"/>
        <w:rPr>
          <w:rStyle w:val="165"/>
          <w:rFonts w:hint="eastAsia" w:ascii="仿宋" w:hAnsi="仿宋" w:eastAsia="仿宋" w:cs="仿宋"/>
          <w:color w:val="auto"/>
          <w:sz w:val="32"/>
          <w:szCs w:val="32"/>
        </w:rPr>
      </w:pPr>
    </w:p>
    <w:p w14:paraId="44F99065">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Style w:val="165"/>
          <w:rFonts w:hint="eastAsia" w:ascii="仿宋" w:hAnsi="仿宋" w:eastAsia="仿宋" w:cs="仿宋"/>
          <w:color w:val="auto"/>
          <w:sz w:val="32"/>
          <w:szCs w:val="32"/>
        </w:rPr>
        <w:t>编号：HY-JG-2026-XXX</w:t>
      </w:r>
      <w:r>
        <w:rPr>
          <w:rStyle w:val="165"/>
          <w:rFonts w:hint="eastAsia" w:ascii="仿宋" w:hAnsi="仿宋" w:eastAsia="仿宋" w:cs="仿宋"/>
          <w:color w:val="auto"/>
          <w:sz w:val="32"/>
          <w:szCs w:val="32"/>
        </w:rPr>
        <w:br w:type="textWrapping"/>
      </w:r>
      <w:r>
        <w:rPr>
          <w:rStyle w:val="165"/>
          <w:rFonts w:hint="eastAsia" w:ascii="仿宋" w:hAnsi="仿宋" w:eastAsia="仿宋" w:cs="仿宋"/>
          <w:color w:val="auto"/>
          <w:sz w:val="32"/>
          <w:szCs w:val="32"/>
        </w:rPr>
        <w:br w:type="textWrapping"/>
      </w:r>
      <w:r>
        <w:rPr>
          <w:rStyle w:val="165"/>
          <w:rFonts w:hint="eastAsia" w:ascii="仿宋" w:hAnsi="仿宋" w:eastAsia="仿宋" w:cs="仿宋"/>
          <w:color w:val="auto"/>
          <w:sz w:val="32"/>
          <w:szCs w:val="32"/>
        </w:rPr>
        <w:t>XX 公司：</w:t>
      </w:r>
      <w:r>
        <w:rPr>
          <w:rStyle w:val="165"/>
          <w:rFonts w:hint="eastAsia" w:ascii="仿宋" w:hAnsi="仿宋" w:eastAsia="仿宋" w:cs="仿宋"/>
          <w:color w:val="auto"/>
          <w:sz w:val="32"/>
          <w:szCs w:val="32"/>
        </w:rPr>
        <w:br w:type="textWrapping"/>
      </w:r>
      <w:r>
        <w:rPr>
          <w:rStyle w:val="165"/>
          <w:rFonts w:hint="eastAsia" w:ascii="仿宋" w:hAnsi="仿宋" w:eastAsia="仿宋" w:cs="仿宋"/>
          <w:color w:val="auto"/>
          <w:sz w:val="32"/>
          <w:szCs w:val="32"/>
          <w:lang w:val="en-US" w:eastAsia="zh-CN"/>
        </w:rPr>
        <w:t xml:space="preserve">    </w:t>
      </w:r>
      <w:r>
        <w:rPr>
          <w:rStyle w:val="165"/>
          <w:rFonts w:hint="eastAsia" w:ascii="仿宋" w:hAnsi="仿宋" w:eastAsia="仿宋" w:cs="仿宋"/>
          <w:color w:val="auto"/>
          <w:sz w:val="32"/>
          <w:szCs w:val="32"/>
        </w:rPr>
        <w:t>贵单位提交的</w:t>
      </w:r>
      <w:r>
        <w:rPr>
          <w:rFonts w:hint="eastAsia" w:ascii="仿宋" w:hAnsi="仿宋" w:eastAsia="仿宋" w:cs="仿宋"/>
          <w:color w:val="auto"/>
          <w:sz w:val="32"/>
          <w:szCs w:val="32"/>
          <w:lang w:val="en-US" w:eastAsia="zh-CN"/>
        </w:rPr>
        <w:t>“</w:t>
      </w:r>
      <w:r>
        <w:rPr>
          <w:rStyle w:val="165"/>
          <w:rFonts w:hint="eastAsia" w:ascii="仿宋" w:hAnsi="仿宋" w:eastAsia="仿宋" w:cs="仿宋"/>
          <w:color w:val="auto"/>
          <w:sz w:val="32"/>
          <w:szCs w:val="32"/>
        </w:rPr>
        <w:t xml:space="preserve">XX </w:t>
      </w:r>
      <w:r>
        <w:rPr>
          <w:rStyle w:val="165"/>
          <w:rFonts w:hint="eastAsia" w:ascii="仿宋" w:hAnsi="仿宋" w:eastAsia="仿宋" w:cs="仿宋"/>
          <w:color w:val="auto"/>
          <w:sz w:val="32"/>
          <w:szCs w:val="32"/>
          <w:lang w:eastAsia="zh-CN"/>
        </w:rPr>
        <w:t>省级</w:t>
      </w:r>
      <w:r>
        <w:rPr>
          <w:rStyle w:val="165"/>
          <w:rFonts w:hint="eastAsia" w:ascii="仿宋" w:hAnsi="仿宋" w:eastAsia="仿宋" w:cs="仿宋"/>
          <w:color w:val="auto"/>
          <w:sz w:val="32"/>
          <w:szCs w:val="32"/>
        </w:rPr>
        <w:t>技术改造项目</w:t>
      </w:r>
      <w:r>
        <w:rPr>
          <w:rFonts w:hint="eastAsia" w:ascii="仿宋" w:hAnsi="仿宋" w:eastAsia="仿宋" w:cs="仿宋"/>
          <w:color w:val="auto"/>
          <w:sz w:val="32"/>
          <w:szCs w:val="32"/>
          <w:lang w:eastAsia="zh-CN"/>
        </w:rPr>
        <w:t>”</w:t>
      </w:r>
      <w:r>
        <w:rPr>
          <w:rStyle w:val="165"/>
          <w:rFonts w:hint="eastAsia" w:ascii="仿宋" w:hAnsi="仿宋" w:eastAsia="仿宋" w:cs="仿宋"/>
          <w:color w:val="auto"/>
          <w:sz w:val="32"/>
          <w:szCs w:val="32"/>
        </w:rPr>
        <w:t>申报材料已通过形式预审，请于 X 个工作日</w:t>
      </w:r>
      <w:r>
        <w:rPr>
          <w:rFonts w:hint="eastAsia" w:ascii="仿宋" w:hAnsi="仿宋" w:eastAsia="仿宋" w:cs="仿宋"/>
          <w:color w:val="auto"/>
          <w:sz w:val="32"/>
          <w:szCs w:val="32"/>
        </w:rPr>
        <w:t>内将完整材料（含电子版）报送至XXX</w:t>
      </w:r>
      <w:r>
        <w:rPr>
          <w:rFonts w:hint="eastAsia" w:ascii="仿宋" w:hAnsi="仿宋" w:eastAsia="仿宋" w:cs="仿宋"/>
          <w:color w:val="auto"/>
          <w:sz w:val="32"/>
          <w:szCs w:val="32"/>
          <w:lang w:eastAsia="zh-CN"/>
        </w:rPr>
        <w:t>县（区）政务服务中心</w:t>
      </w:r>
      <w:r>
        <w:rPr>
          <w:rFonts w:hint="eastAsia" w:ascii="仿宋" w:hAnsi="仿宋" w:eastAsia="仿宋" w:cs="仿宋"/>
          <w:color w:val="auto"/>
          <w:sz w:val="32"/>
          <w:szCs w:val="32"/>
        </w:rPr>
        <w:t>技改资金申报受理窗口。</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预审通过不代表入库，最终入库以省厅审定为准。</w:t>
      </w:r>
      <w:r>
        <w:rPr>
          <w:rFonts w:hint="eastAsia" w:ascii="仿宋" w:hAnsi="仿宋" w:eastAsia="仿宋" w:cs="仿宋"/>
          <w:color w:val="auto"/>
          <w:sz w:val="32"/>
          <w:szCs w:val="32"/>
        </w:rPr>
        <w:br w:type="textWrapping"/>
      </w:r>
    </w:p>
    <w:p w14:paraId="21E42999">
      <w:pPr>
        <w:pageBreakBefore w:val="0"/>
        <w:widowControl/>
        <w:kinsoku/>
        <w:wordWrap/>
        <w:overflowPunct/>
        <w:topLinePunct w:val="0"/>
        <w:autoSpaceDE/>
        <w:autoSpaceDN/>
        <w:bidi w:val="0"/>
        <w:adjustRightInd/>
        <w:snapToGrid/>
        <w:spacing w:after="0" w:line="240" w:lineRule="auto"/>
        <w:ind w:left="0" w:firstLine="0" w:firstLineChars="0"/>
        <w:jc w:val="righ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br w:type="textWrapping"/>
      </w:r>
      <w:r>
        <w:rPr>
          <w:rFonts w:hint="eastAsia" w:ascii="仿宋" w:hAnsi="仿宋" w:eastAsia="仿宋" w:cs="仿宋"/>
          <w:color w:val="auto"/>
          <w:sz w:val="32"/>
          <w:szCs w:val="32"/>
        </w:rPr>
        <w:t>受理窗口：（盖章）</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rPr>
        <w:t>日期：YYYY-MM-DD</w:t>
      </w:r>
      <w:r>
        <w:rPr>
          <w:rFonts w:hint="eastAsia" w:ascii="仿宋" w:hAnsi="仿宋" w:eastAsia="仿宋" w:cs="仿宋"/>
          <w:color w:val="auto"/>
          <w:sz w:val="32"/>
          <w:szCs w:val="32"/>
        </w:rPr>
        <w:br w:type="textWrapping"/>
      </w:r>
    </w:p>
    <w:p w14:paraId="1FFA1780">
      <w:pPr>
        <w:pStyle w:val="5"/>
        <w:pageBreakBefore w:val="0"/>
        <w:widowControl/>
        <w:kinsoku/>
        <w:wordWrap/>
        <w:overflowPunct/>
        <w:topLinePunct w:val="0"/>
        <w:autoSpaceDE/>
        <w:autoSpaceDN/>
        <w:bidi w:val="0"/>
        <w:adjustRightInd/>
        <w:snapToGrid/>
        <w:spacing w:before="0" w:after="0" w:line="240" w:lineRule="auto"/>
        <w:ind w:left="0" w:firstLine="0" w:firstLineChars="0"/>
        <w:jc w:val="center"/>
        <w:textAlignment w:val="auto"/>
        <w:rPr>
          <w:rFonts w:hint="eastAsia" w:ascii="仿宋" w:hAnsi="仿宋" w:eastAsia="仿宋" w:cs="仿宋"/>
          <w:color w:val="auto"/>
          <w:sz w:val="32"/>
          <w:szCs w:val="32"/>
        </w:rPr>
      </w:pPr>
    </w:p>
    <w:p w14:paraId="2DCD9CA8">
      <w:pPr>
        <w:pStyle w:val="5"/>
        <w:pageBreakBefore w:val="0"/>
        <w:widowControl/>
        <w:kinsoku/>
        <w:wordWrap/>
        <w:overflowPunct/>
        <w:topLinePunct w:val="0"/>
        <w:autoSpaceDE/>
        <w:autoSpaceDN/>
        <w:bidi w:val="0"/>
        <w:adjustRightInd/>
        <w:snapToGrid/>
        <w:spacing w:before="0" w:after="0" w:line="240" w:lineRule="auto"/>
        <w:ind w:left="0" w:firstLine="0" w:firstLineChars="0"/>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《缺件告知单》</w:t>
      </w:r>
    </w:p>
    <w:p w14:paraId="68FC8800">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p>
    <w:p w14:paraId="5CC158DC">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编号：HY-JG-2026-XXX</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rPr>
        <w:br w:type="textWrapping"/>
      </w:r>
      <w:r>
        <w:rPr>
          <w:rFonts w:hint="eastAsia" w:ascii="仿宋" w:hAnsi="仿宋" w:eastAsia="仿宋" w:cs="仿宋"/>
          <w:color w:val="auto"/>
          <w:sz w:val="32"/>
          <w:szCs w:val="32"/>
        </w:rPr>
        <w:t>XX 公司：</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贵单位提交的</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 xml:space="preserve">XX </w:t>
      </w:r>
      <w:r>
        <w:rPr>
          <w:rFonts w:hint="eastAsia" w:ascii="仿宋" w:hAnsi="仿宋" w:eastAsia="仿宋" w:cs="仿宋"/>
          <w:color w:val="auto"/>
          <w:sz w:val="32"/>
          <w:szCs w:val="32"/>
          <w:lang w:eastAsia="zh-CN"/>
        </w:rPr>
        <w:t>省级</w:t>
      </w:r>
      <w:r>
        <w:rPr>
          <w:rFonts w:hint="eastAsia" w:ascii="仿宋" w:hAnsi="仿宋" w:eastAsia="仿宋" w:cs="仿宋"/>
          <w:color w:val="auto"/>
          <w:sz w:val="32"/>
          <w:szCs w:val="32"/>
        </w:rPr>
        <w:t>技术改造项目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申报材料经形式审查，缺失以下材料，请于 X 个工作日内补正：</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项目资金申请表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工信部门技改备案文件</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 设备发票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逾期未补正，视为放弃本次申报。</w:t>
      </w:r>
      <w:r>
        <w:rPr>
          <w:rFonts w:hint="eastAsia" w:ascii="仿宋" w:hAnsi="仿宋" w:eastAsia="仿宋" w:cs="仿宋"/>
          <w:color w:val="auto"/>
          <w:sz w:val="32"/>
          <w:szCs w:val="32"/>
        </w:rPr>
        <w:br w:type="textWrapping"/>
      </w:r>
    </w:p>
    <w:p w14:paraId="0BBBDABC">
      <w:pPr>
        <w:pageBreakBefore w:val="0"/>
        <w:widowControl/>
        <w:kinsoku/>
        <w:wordWrap/>
        <w:overflowPunct/>
        <w:topLinePunct w:val="0"/>
        <w:autoSpaceDE/>
        <w:autoSpaceDN/>
        <w:bidi w:val="0"/>
        <w:adjustRightInd/>
        <w:snapToGrid/>
        <w:spacing w:after="0" w:line="240" w:lineRule="auto"/>
        <w:ind w:left="0" w:firstLine="0" w:firstLineChars="0"/>
        <w:jc w:val="righ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br w:type="textWrapping"/>
      </w:r>
      <w:r>
        <w:rPr>
          <w:rFonts w:hint="eastAsia" w:ascii="仿宋" w:hAnsi="仿宋" w:eastAsia="仿宋" w:cs="仿宋"/>
          <w:color w:val="auto"/>
          <w:sz w:val="32"/>
          <w:szCs w:val="32"/>
        </w:rPr>
        <w:t>受理窗口：（盖章）</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rPr>
        <w:t>日期：YYYY-MM-DD</w:t>
      </w:r>
      <w:r>
        <w:rPr>
          <w:rFonts w:hint="eastAsia" w:ascii="仿宋" w:hAnsi="仿宋" w:eastAsia="仿宋" w:cs="仿宋"/>
          <w:color w:val="auto"/>
          <w:sz w:val="32"/>
          <w:szCs w:val="32"/>
        </w:rPr>
        <w:br w:type="textWrapping"/>
      </w:r>
    </w:p>
    <w:p w14:paraId="648D2A49">
      <w:pPr>
        <w:pStyle w:val="5"/>
        <w:pageBreakBefore w:val="0"/>
        <w:widowControl/>
        <w:kinsoku/>
        <w:wordWrap/>
        <w:overflowPunct/>
        <w:topLinePunct w:val="0"/>
        <w:autoSpaceDE/>
        <w:autoSpaceDN/>
        <w:bidi w:val="0"/>
        <w:adjustRightInd/>
        <w:snapToGrid/>
        <w:spacing w:before="0" w:after="0" w:line="240" w:lineRule="auto"/>
        <w:ind w:left="0" w:firstLine="0" w:firstLineChars="0"/>
        <w:jc w:val="center"/>
        <w:textAlignment w:val="auto"/>
        <w:rPr>
          <w:rFonts w:hint="eastAsia" w:ascii="仿宋" w:hAnsi="仿宋" w:eastAsia="仿宋" w:cs="仿宋"/>
          <w:color w:val="auto"/>
          <w:sz w:val="32"/>
          <w:szCs w:val="32"/>
        </w:rPr>
      </w:pPr>
    </w:p>
    <w:p w14:paraId="6CBB3C56">
      <w:pPr>
        <w:pStyle w:val="5"/>
        <w:pageBreakBefore w:val="0"/>
        <w:widowControl/>
        <w:kinsoku/>
        <w:wordWrap/>
        <w:overflowPunct/>
        <w:topLinePunct w:val="0"/>
        <w:autoSpaceDE/>
        <w:autoSpaceDN/>
        <w:bidi w:val="0"/>
        <w:adjustRightInd/>
        <w:snapToGrid/>
        <w:spacing w:before="0" w:after="0" w:line="240" w:lineRule="auto"/>
        <w:ind w:left="0" w:firstLine="0" w:firstLineChars="0"/>
        <w:jc w:val="center"/>
        <w:textAlignment w:val="auto"/>
        <w:rPr>
          <w:rFonts w:hint="eastAsia" w:ascii="仿宋" w:hAnsi="仿宋" w:eastAsia="仿宋" w:cs="仿宋"/>
          <w:color w:val="auto"/>
          <w:sz w:val="32"/>
          <w:szCs w:val="32"/>
        </w:rPr>
      </w:pPr>
    </w:p>
    <w:p w14:paraId="1146A414">
      <w:pPr>
        <w:pStyle w:val="5"/>
        <w:pageBreakBefore w:val="0"/>
        <w:widowControl/>
        <w:kinsoku/>
        <w:wordWrap/>
        <w:overflowPunct/>
        <w:topLinePunct w:val="0"/>
        <w:autoSpaceDE/>
        <w:autoSpaceDN/>
        <w:bidi w:val="0"/>
        <w:adjustRightInd/>
        <w:snapToGrid/>
        <w:spacing w:before="0" w:after="0" w:line="240" w:lineRule="auto"/>
        <w:ind w:left="0" w:firstLine="0" w:firstLineChars="0"/>
        <w:jc w:val="center"/>
        <w:textAlignment w:val="auto"/>
        <w:rPr>
          <w:rFonts w:hint="eastAsia" w:ascii="仿宋" w:hAnsi="仿宋" w:eastAsia="仿宋" w:cs="仿宋"/>
          <w:b w:val="0"/>
          <w:bCs w:val="0"/>
          <w:color w:val="auto"/>
          <w:sz w:val="32"/>
          <w:szCs w:val="32"/>
          <w:lang w:val="en-US" w:eastAsia="en-US" w:bidi="ar-SA"/>
        </w:rPr>
      </w:pPr>
      <w:r>
        <w:rPr>
          <w:rFonts w:hint="eastAsia" w:ascii="仿宋" w:hAnsi="仿宋" w:eastAsia="仿宋" w:cs="仿宋"/>
          <w:color w:val="auto"/>
          <w:sz w:val="32"/>
          <w:szCs w:val="32"/>
        </w:rPr>
        <w:t>《不予受理告知书》</w:t>
      </w:r>
    </w:p>
    <w:p w14:paraId="22056786">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lang w:val="en-US" w:eastAsia="en-US"/>
        </w:rPr>
      </w:pPr>
    </w:p>
    <w:p w14:paraId="02CEF4EF">
      <w:pPr>
        <w:pageBreakBefore w:val="0"/>
        <w:widowControl/>
        <w:kinsoku/>
        <w:wordWrap/>
        <w:overflowPunct/>
        <w:topLinePunct w:val="0"/>
        <w:autoSpaceDE/>
        <w:autoSpaceDN/>
        <w:bidi w:val="0"/>
        <w:adjustRightInd/>
        <w:snapToGrid/>
        <w:spacing w:after="0" w:line="240" w:lineRule="auto"/>
        <w:ind w:left="0" w:firstLine="0" w:firstLineChars="0"/>
        <w:textAlignment w:val="auto"/>
        <w:rPr>
          <w:rFonts w:hint="eastAsia" w:ascii="仿宋" w:hAnsi="仿宋" w:eastAsia="仿宋" w:cs="仿宋"/>
          <w:color w:val="auto"/>
          <w:sz w:val="32"/>
          <w:szCs w:val="32"/>
          <w:lang w:val="en-US" w:eastAsia="en-US"/>
        </w:rPr>
      </w:pPr>
      <w:r>
        <w:rPr>
          <w:rFonts w:hint="eastAsia" w:ascii="仿宋" w:hAnsi="仿宋" w:eastAsia="仿宋" w:cs="仿宋"/>
          <w:color w:val="auto"/>
          <w:sz w:val="32"/>
          <w:szCs w:val="32"/>
          <w:lang w:val="en-US" w:eastAsia="en-US"/>
        </w:rPr>
        <w:t>编号：HY-JG-2026-XXX</w:t>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en-US"/>
        </w:rPr>
        <w:t>XX 公司：</w:t>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val="en-US" w:eastAsia="en-US"/>
        </w:rPr>
        <w:t>贵单位提交的</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val="en-US" w:eastAsia="en-US"/>
        </w:rPr>
        <w:t xml:space="preserve">XX </w:t>
      </w:r>
      <w:r>
        <w:rPr>
          <w:rFonts w:hint="eastAsia" w:ascii="仿宋" w:hAnsi="仿宋" w:eastAsia="仿宋" w:cs="仿宋"/>
          <w:color w:val="auto"/>
          <w:sz w:val="32"/>
          <w:szCs w:val="32"/>
          <w:lang w:val="en-US" w:eastAsia="zh-CN"/>
        </w:rPr>
        <w:t>省级</w:t>
      </w:r>
      <w:r>
        <w:rPr>
          <w:rFonts w:hint="eastAsia" w:ascii="仿宋" w:hAnsi="仿宋" w:eastAsia="仿宋" w:cs="仿宋"/>
          <w:color w:val="auto"/>
          <w:sz w:val="32"/>
          <w:szCs w:val="32"/>
          <w:lang w:val="en-US" w:eastAsia="en-US"/>
        </w:rPr>
        <w:t>技术改造项目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en-US"/>
        </w:rPr>
        <w:t>申报材料经形式审查，不符合受理条件，不予受理。</w:t>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val="en-US" w:eastAsia="en-US"/>
        </w:rPr>
        <w:t>不予受理原因：</w:t>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val="en-US" w:eastAsia="en-US"/>
        </w:rPr>
        <w:t>□ 不属于粤工信技改函〔202X〕X 号支持范围</w:t>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val="en-US" w:eastAsia="en-US"/>
        </w:rPr>
        <w:t>□ 不满足申报主体资格</w:t>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val="en-US" w:eastAsia="en-US"/>
        </w:rPr>
        <w:t>□ 关键材料缺失</w:t>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val="en-US" w:eastAsia="en-US"/>
        </w:rPr>
        <w:t>□ 已纳入</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val="en-US" w:eastAsia="en-US"/>
        </w:rPr>
        <w:t>信用中国</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val="en-US" w:eastAsia="en-US"/>
        </w:rPr>
        <w:t>严重失信主体名单</w:t>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val="en-US" w:eastAsia="en-US"/>
        </w:rPr>
        <w:t>□ ……</w:t>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val="en-US" w:eastAsia="en-US"/>
        </w:rPr>
        <w:t xml:space="preserve">如对不予受理决定有异议，可在收到本告知书 </w:t>
      </w:r>
      <w:r>
        <w:rPr>
          <w:rFonts w:hint="eastAsia" w:ascii="仿宋" w:hAnsi="仿宋" w:eastAsia="仿宋" w:cs="仿宋"/>
          <w:color w:val="auto"/>
          <w:sz w:val="32"/>
          <w:szCs w:val="32"/>
          <w:lang w:val="en-US" w:eastAsia="zh-CN"/>
        </w:rPr>
        <w:t>30</w:t>
      </w:r>
      <w:r>
        <w:rPr>
          <w:rFonts w:hint="eastAsia" w:ascii="仿宋" w:hAnsi="仿宋" w:eastAsia="仿宋" w:cs="仿宋"/>
          <w:color w:val="auto"/>
          <w:sz w:val="32"/>
          <w:szCs w:val="32"/>
          <w:lang w:val="en-US" w:eastAsia="en-US"/>
        </w:rPr>
        <w:t>日内向上级主管部门申请行政复议。</w:t>
      </w:r>
      <w:r>
        <w:rPr>
          <w:rFonts w:hint="eastAsia" w:ascii="仿宋" w:hAnsi="仿宋" w:eastAsia="仿宋" w:cs="仿宋"/>
          <w:color w:val="auto"/>
          <w:sz w:val="32"/>
          <w:szCs w:val="32"/>
          <w:lang w:val="en-US" w:eastAsia="en-US"/>
        </w:rPr>
        <w:br w:type="textWrapping"/>
      </w:r>
    </w:p>
    <w:p w14:paraId="61160A7E">
      <w:pPr>
        <w:pageBreakBefore w:val="0"/>
        <w:widowControl/>
        <w:kinsoku/>
        <w:wordWrap/>
        <w:overflowPunct/>
        <w:topLinePunct w:val="0"/>
        <w:autoSpaceDE/>
        <w:autoSpaceDN/>
        <w:bidi w:val="0"/>
        <w:adjustRightInd/>
        <w:snapToGrid/>
        <w:spacing w:after="0" w:line="240" w:lineRule="auto"/>
        <w:ind w:left="0" w:firstLine="0" w:firstLineChars="0"/>
        <w:jc w:val="right"/>
        <w:textAlignment w:val="auto"/>
        <w:rPr>
          <w:rFonts w:hint="eastAsia" w:ascii="仿宋" w:hAnsi="仿宋" w:eastAsia="仿宋" w:cs="仿宋"/>
          <w:color w:val="auto"/>
          <w:sz w:val="32"/>
          <w:szCs w:val="32"/>
          <w:lang w:val="en-US" w:eastAsia="en-US"/>
        </w:rPr>
      </w:pP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en-US"/>
        </w:rPr>
        <w:t>受理窗口：（盖章）</w:t>
      </w:r>
      <w:r>
        <w:rPr>
          <w:rFonts w:hint="eastAsia" w:ascii="仿宋" w:hAnsi="仿宋" w:eastAsia="仿宋" w:cs="仿宋"/>
          <w:color w:val="auto"/>
          <w:sz w:val="32"/>
          <w:szCs w:val="32"/>
          <w:lang w:val="en-US" w:eastAsia="en-US"/>
        </w:rPr>
        <w:br w:type="textWrapping"/>
      </w:r>
      <w:r>
        <w:rPr>
          <w:rFonts w:hint="eastAsia" w:ascii="仿宋" w:hAnsi="仿宋" w:eastAsia="仿宋" w:cs="仿宋"/>
          <w:color w:val="auto"/>
          <w:sz w:val="32"/>
          <w:szCs w:val="32"/>
          <w:lang w:val="en-US" w:eastAsia="en-US"/>
        </w:rPr>
        <w:t>日期：YYYY-MM-DD</w:t>
      </w:r>
      <w:r>
        <w:rPr>
          <w:rFonts w:hint="eastAsia" w:ascii="仿宋" w:hAnsi="仿宋" w:eastAsia="仿宋" w:cs="仿宋"/>
          <w:color w:val="auto"/>
          <w:sz w:val="32"/>
          <w:szCs w:val="32"/>
          <w:lang w:val="en-US" w:eastAsia="en-US"/>
        </w:rPr>
        <w:br w:type="textWrapping"/>
      </w:r>
    </w:p>
    <w:sectPr>
      <w:footerReference r:id="rId5" w:type="default"/>
      <w:pgSz w:w="11906" w:h="16838"/>
      <w:pgMar w:top="1440" w:right="1797" w:bottom="1440" w:left="179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MS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ＭＳ 明朝">
    <w:altName w:val="宋体"/>
    <w:panose1 w:val="00000000000000000000"/>
    <w:charset w:val="86"/>
    <w:family w:val="auto"/>
    <w:pitch w:val="default"/>
    <w:sig w:usb0="00000000" w:usb1="00000000" w:usb2="00000000" w:usb3="00000000" w:csb0="00000000" w:csb1="00000000"/>
  </w:font>
  <w:font w:name="Courier">
    <w:altName w:val="Courier New"/>
    <w:panose1 w:val="020005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Emoji">
    <w:panose1 w:val="020B0502040204020203"/>
    <w:charset w:val="00"/>
    <w:family w:val="auto"/>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0CA2">
    <w:pPr>
      <w:pStyle w:val="24"/>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A3E76A">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A3E76A">
                    <w:pPr>
                      <w:pStyle w:val="2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3FE1812"/>
    <w:rsid w:val="0A7116F6"/>
    <w:rsid w:val="0B2F5729"/>
    <w:rsid w:val="16A1413C"/>
    <w:rsid w:val="17BD4ABA"/>
    <w:rsid w:val="17FB319C"/>
    <w:rsid w:val="20C92CE4"/>
    <w:rsid w:val="2EC7390D"/>
    <w:rsid w:val="2F430170"/>
    <w:rsid w:val="492D0547"/>
    <w:rsid w:val="4BB775D3"/>
    <w:rsid w:val="4FE51DF0"/>
    <w:rsid w:val="635D341B"/>
    <w:rsid w:val="645E42B8"/>
    <w:rsid w:val="65276A93"/>
    <w:rsid w:val="709E7BD3"/>
    <w:rsid w:val="70EE1DD5"/>
    <w:rsid w:val="72A050D2"/>
    <w:rsid w:val="7511646D"/>
    <w:rsid w:val="76F46004"/>
    <w:rsid w:val="7855070D"/>
    <w:rsid w:val="799452AF"/>
    <w:rsid w:val="7AEC0079"/>
    <w:rsid w:val="7DDF2F5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20" w:line="276" w:lineRule="auto"/>
    </w:pPr>
    <w:rPr>
      <w:rFonts w:ascii="宋体" w:hAnsi="宋体" w:eastAsia="宋体" w:cstheme="minorBidi"/>
      <w:color w:val="000000"/>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Blockquote"/>
    <w:basedOn w:val="1"/>
    <w:qFormat/>
    <w:uiPriority w:val="0"/>
    <w:rPr>
      <w:rFonts w:ascii="楷体" w:hAnsi="楷体" w:eastAsia="楷体"/>
      <w:color w:val="444444"/>
      <w:sz w:val="22"/>
    </w:rPr>
  </w:style>
  <w:style w:type="character" w:customStyle="1" w:styleId="165">
    <w:name w:val="CodeChar"/>
    <w:basedOn w:val="132"/>
    <w:qFormat/>
    <w:uiPriority w:val="0"/>
    <w:rPr>
      <w:rFonts w:ascii="Courier New" w:hAnsi="Courier New" w:eastAsia="Courier New"/>
      <w:color w:val="000000"/>
      <w:sz w:val="20"/>
    </w:rPr>
  </w:style>
  <w:style w:type="paragraph" w:customStyle="1" w:styleId="166">
    <w:name w:val="ListBullet"/>
    <w:qFormat/>
    <w:uiPriority w:val="0"/>
    <w:pPr>
      <w:spacing w:after="200" w:line="276" w:lineRule="auto"/>
    </w:pPr>
    <w:rPr>
      <w:rFonts w:ascii="宋体" w:hAnsi="宋体" w:eastAsia="宋体" w:cstheme="minorBidi"/>
      <w:color w:val="000000"/>
      <w:sz w:val="22"/>
      <w:szCs w:val="22"/>
      <w:lang w:val="en-US" w:eastAsia="en-US" w:bidi="ar-SA"/>
    </w:rPr>
  </w:style>
  <w:style w:type="paragraph" w:customStyle="1" w:styleId="167">
    <w:name w:val="ListNumber"/>
    <w:qFormat/>
    <w:uiPriority w:val="0"/>
    <w:pPr>
      <w:spacing w:after="200" w:line="276" w:lineRule="auto"/>
    </w:pPr>
    <w:rPr>
      <w:rFonts w:ascii="宋体" w:hAnsi="宋体" w:eastAsia="宋体" w:cstheme="minorBidi"/>
      <w:color w:val="000000"/>
      <w:sz w:val="22"/>
      <w:szCs w:val="22"/>
      <w:lang w:val="en-US" w:eastAsia="en-US" w:bidi="ar-SA"/>
    </w:rPr>
  </w:style>
  <w:style w:type="paragraph" w:customStyle="1" w:styleId="168">
    <w:name w:val="Table"/>
    <w:basedOn w:val="1"/>
    <w:qFormat/>
    <w:uiPriority w:val="0"/>
    <w:pPr>
      <w:jc w:val="center"/>
    </w:pPr>
    <w:rPr>
      <w:rFonts w:ascii="宋体" w:hAnsi="宋体" w:eastAsia="宋体"/>
      <w:sz w:val="20"/>
    </w:rPr>
  </w:style>
  <w:style w:type="paragraph" w:customStyle="1" w:styleId="169">
    <w:name w:val="HorizontalRule"/>
    <w:basedOn w:val="1"/>
    <w:qFormat/>
    <w:uiPriority w:val="0"/>
    <w:pPr>
      <w:spacing w:after="240"/>
    </w:pPr>
    <w:rPr>
      <w:color w:val="CCCCCC"/>
    </w:rPr>
  </w:style>
  <w:style w:type="paragraph" w:customStyle="1" w:styleId="170">
    <w:name w:val="Footnote"/>
    <w:basedOn w:val="1"/>
    <w:qFormat/>
    <w:uiPriority w:val="0"/>
    <w:rPr>
      <w:rFonts w:ascii="宋体" w:hAnsi="宋体" w:eastAsia="宋体"/>
      <w:color w:val="666666"/>
      <w:sz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1062</Words>
  <Characters>1121</Characters>
  <Lines>0</Lines>
  <Paragraphs>0</Paragraphs>
  <TotalTime>36</TotalTime>
  <ScaleCrop>false</ScaleCrop>
  <LinksUpToDate>false</LinksUpToDate>
  <CharactersWithSpaces>1233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MarkdownToDocx Converter</dc:creator>
  <dc:description>Converted from Markdown to DOCX</dc:description>
  <cp:lastModifiedBy>hector</cp:lastModifiedBy>
  <dcterms:modified xsi:type="dcterms:W3CDTF">2026-07-30T08:12:07Z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64018705","ProduceID":"7626183476064207140-data_volume/generated/20260622/3f5d510b-8fcc-4b8c-8765-1e2728de66a2/河源市技改专项资金申报事项窗口操作指引.md.docx","ReservedCode1":"","ContentPropagator":"001191110102MACQD9K64028705","PropagateID":"379780319682985#1782096826164","ReservedCode2":""}</vt:lpwstr>
  </property>
  <property fmtid="{D5CDD505-2E9C-101B-9397-08002B2CF9AE}" pid="3" name="KSOTemplateDocerSaveRecord">
    <vt:lpwstr>eyJoZGlkIjoiMWJmYzdhMTdlODYwMjZhZjQ1ODIzMDNiNWUxZjkzYTMiLCJ1c2VySWQiOiIyMzMyNTcyMDEifQ==</vt:lpwstr>
  </property>
  <property fmtid="{D5CDD505-2E9C-101B-9397-08002B2CF9AE}" pid="4" name="KSOProductBuildVer">
    <vt:lpwstr>2052-12.1.0.26895</vt:lpwstr>
  </property>
  <property fmtid="{D5CDD505-2E9C-101B-9397-08002B2CF9AE}" pid="5" name="ICV">
    <vt:lpwstr>86AF0567339A48DF9BB86C2183A84746_12</vt:lpwstr>
  </property>
</Properties>
</file>