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FB7A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sz w:val="32"/>
          <w:szCs w:val="32"/>
        </w:rPr>
      </w:pPr>
      <w:r>
        <w:rPr>
          <w:rFonts w:hint="eastAsia" w:ascii="仿宋" w:hAnsi="仿宋" w:eastAsia="仿宋" w:cs="仿宋"/>
          <w:b/>
          <w:bCs/>
          <w:sz w:val="32"/>
          <w:szCs w:val="32"/>
        </w:rPr>
        <w:t>附件2：</w:t>
      </w:r>
    </w:p>
    <w:p w14:paraId="54F040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5CA0986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河源市开展2027年广东省制造业当家</w:t>
      </w:r>
    </w:p>
    <w:p w14:paraId="65116377">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重点任务保障专项企业技术</w:t>
      </w:r>
      <w:bookmarkStart w:id="0" w:name="_GoBack"/>
      <w:bookmarkEnd w:id="0"/>
      <w:r>
        <w:rPr>
          <w:rFonts w:hint="eastAsia" w:ascii="宋体" w:hAnsi="宋体" w:eastAsia="宋体" w:cs="宋体"/>
          <w:b/>
          <w:bCs/>
          <w:sz w:val="44"/>
          <w:szCs w:val="44"/>
        </w:rPr>
        <w:t>改造资金</w:t>
      </w:r>
    </w:p>
    <w:p w14:paraId="67E310A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项目申报指南</w:t>
      </w:r>
    </w:p>
    <w:p w14:paraId="11A1BC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14:paraId="105C18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一、支持内容与入库要求</w:t>
      </w:r>
    </w:p>
    <w:p w14:paraId="3491CC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广东省制造业当家重点任务保障专项企业技术改造资金项目必须为技术改造项目，符合技术改造项目的基本条件。  </w:t>
      </w:r>
    </w:p>
    <w:p w14:paraId="1B72CDA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（一）设备奖励方式</w:t>
      </w:r>
    </w:p>
    <w:p w14:paraId="2131373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1、支持内容</w:t>
      </w:r>
    </w:p>
    <w:p w14:paraId="445BA9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持企业通过新技术、新工艺、新材料、新设备等“四新”手段开展技术改造，推进企业实施设备更新和升级换代，支持企业淘汰老旧设备，引进和购置生产用新设备（含配套软件，包括与项目设备配套的CAD、CAE等工业软件，下同），大力发展智能制造装备，推动生产装备数字化，提升企业装备水平，推动企业扩产增量、提升自主品牌、提升产出效益，提高产品质量和劳动生产率。不支持非生产用设备（如内控管理软件、生活污水处理设备、耗材、二手设备、安装和服务费、工程费用等）。</w:t>
      </w:r>
    </w:p>
    <w:p w14:paraId="2E39367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2、支持方式及标准</w:t>
      </w:r>
    </w:p>
    <w:p w14:paraId="3CA5B7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符合条件的企业设备更新项目按不超过新设备购置额（不含税）的30%进行奖励，单个支持项目奖励额度不超过1500万元；其中对新赛道产业生产端技术改造项目适当提高奖励比例。根据当年度奖励资金预算额度与本地区实际项目申报情况等按规定自主确定奖励比例，原则上同一地市当年度奖励比例保持一致。入库项目不等同于最终省级财政资金给予支持的项目。</w:t>
      </w:r>
    </w:p>
    <w:p w14:paraId="5558AC0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3、入库要求</w:t>
      </w:r>
    </w:p>
    <w:p w14:paraId="4DC058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（1）项目在河源市内实施，项目承担单位为依法登记注册且在河源市生产经营、具有独立承担民事责任能力，诚信经营、依法纳税的工业企业，未被纳入“信用中国”严重失信主体名单。</w:t>
      </w:r>
    </w:p>
    <w:p w14:paraId="2C07B6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（2）项目应符合国家、省产业政策和河源市重点产业发展方向。具备在工业和信息化主管部门备案、核准或审批等文件。</w:t>
      </w:r>
    </w:p>
    <w:p w14:paraId="6CA895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（3）项目在2025年1月1日（含）至2025年12月31日（含）期间完工，且完工日期在项目备案证建设期内。备案证发生变更的，企业提交变更时间不超过前备案证明确的完工日期。</w:t>
      </w:r>
    </w:p>
    <w:p w14:paraId="5AB496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奖励的项目设备为自项目原始备案通过日后至完工日期间购置的设备（以发票等合法票据的时间为准，核定奖补资金时遵循发票与支付凭证从小原则，票据不含税），时间最长不超过3年。项目备案后2年内未开工申请延期的，自申请延期通过日后算起。</w:t>
      </w:r>
    </w:p>
    <w:p w14:paraId="79E8C1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（5）项目固定资产投资额500万以上，其中，企业项目符合条件的新设备购置总额（不含税）不低于400万元。</w:t>
      </w:r>
    </w:p>
    <w:p w14:paraId="2B5B122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（6）项目及申报奖励的设备投资未获得过省工业和信息化领域财政资金的支持。项目投资未获得过超长期特别国债资金支持。</w:t>
      </w:r>
    </w:p>
    <w:p w14:paraId="33EA5F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（7）项目投资按规定纳入技术改造投资统计。</w:t>
      </w:r>
    </w:p>
    <w:p w14:paraId="3660558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（二）保险增信补贴方式</w:t>
      </w:r>
    </w:p>
    <w:p w14:paraId="23345DC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1、支持内容</w:t>
      </w:r>
    </w:p>
    <w:p w14:paraId="3F3053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支持工业企业开展保险增信贷款融资，降低企业融资成本，对技术改造项目使用保险作为增信工具融资的工业企业给予支持。</w:t>
      </w:r>
    </w:p>
    <w:p w14:paraId="50113B1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2、支持方式及标准</w:t>
      </w:r>
    </w:p>
    <w:p w14:paraId="35F11F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保险增信补贴采取事后补贴方式，对符合条件的技术改造完工项目，按其完工日前5年（含完工日当年度）中的任一年度已支付保险费用的不超过50%比例给予补贴（具体比例结合当年预算额度及入库项目情况确定），单个企业每年最高补贴40万元，同一笔保险增信贷款只能享受一次补贴政策。</w:t>
      </w:r>
    </w:p>
    <w:p w14:paraId="77BB6DB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3、入库要求</w:t>
      </w:r>
    </w:p>
    <w:p w14:paraId="5AC4343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（1）项目在河源市内实施，项目承担单位为依法登记注册且在河源市生产经营、具有独立承担民事责任能力，诚信经营、依法纳税的工业企业，未被纳入“信用中国”严重失信主体名单。</w:t>
      </w:r>
    </w:p>
    <w:p w14:paraId="75EC2B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（2）项目应符合国家、省产业政策和河源市重点产业发展方向。具备在工业和信息化主管部门备案、核准或审批等文件。</w:t>
      </w:r>
    </w:p>
    <w:p w14:paraId="6E51A4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（3）项目承担单位通过保险增信方式从银行获得固定资产贷款，在补贴期内无不良信贷记录，贷款资金用于申报的技术改造项目建设。</w:t>
      </w:r>
    </w:p>
    <w:p w14:paraId="1A59E1F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（4）项目在2025年1月1日（含）至2025年12月31日（含）期间完工，保险费用应已完成支付（以保单、支付凭证等为准）。</w:t>
      </w:r>
    </w:p>
    <w:p w14:paraId="29DBC2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（5）项目未获得过省级企业技术改造资金以外的省工业和信息化领域财政资金支持</w:t>
      </w:r>
    </w:p>
    <w:p w14:paraId="6F8C81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（6）项目投资按规定纳入技术改造投资统计。</w:t>
      </w:r>
    </w:p>
    <w:p w14:paraId="53990BB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（三）融资租赁补贴方式</w:t>
      </w:r>
    </w:p>
    <w:p w14:paraId="3C479A8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1、支持内容</w:t>
      </w:r>
    </w:p>
    <w:p w14:paraId="14A269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引导和支持工业企业开展设备融资租赁，降低企业融资成本，对技术改造项目采用直接融资租赁设备的工业企业给予支持。</w:t>
      </w:r>
    </w:p>
    <w:p w14:paraId="5C67B41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2、支持方式及标准</w:t>
      </w:r>
    </w:p>
    <w:p w14:paraId="6F9702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融资租赁补贴采取事后补贴方式，对符合条件的技术改造完工项目，按设备融资租赁合同额不超过合同签订时的银行同期（五年期以上）贷款市场报价利率（LPR）的15%给予一次性补贴（具体比例结合当年预算额度及入库项目情况确定）。单个项目补贴期最高不超过3年，不足1年的部分按实际月数核算，单个企业单个自然年补贴额最高200万元。同一设备融资租赁合同只能享受一次补贴政策。</w:t>
      </w:r>
    </w:p>
    <w:p w14:paraId="453BB4D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3、入库要求</w:t>
      </w:r>
    </w:p>
    <w:p w14:paraId="59629B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（1）项目在河源市内实施，项目承担单位为依法登记注册且在河源市生产经营、具有独立承担民事责任能力，诚信经营、依法纳税的工业企业，未被纳入“信用中国”严重失信主体名单。</w:t>
      </w:r>
    </w:p>
    <w:p w14:paraId="5AC372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（2）企业技术改造项目应符合国家、省产业政策和河源市重点产业发展方向。具备在工业和信息化主管部门备案、核准或审批等文件。</w:t>
      </w:r>
    </w:p>
    <w:p w14:paraId="60C5AD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（3）项目承担单位通过直接融资租赁方式购入生产及生产配套设备（不含家具电器、办公耗材、车辆、非专用电脑等日常办公设备），设备应用于申报的技术改造项目。</w:t>
      </w:r>
    </w:p>
    <w:p w14:paraId="1B054A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（4）项目承担单位在备案证建设期内签订设备融资租赁合同，在补贴期内无不良信贷记录，单个项目设备融资租赁单个合同额不低于500万元。</w:t>
      </w:r>
    </w:p>
    <w:p w14:paraId="321A00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（5）项目在2025年1月1日（含）至2025年12月31日（含）期间完工，且完工日期在项目备案证建设期内。备案证发生变更的，企业提交变更时间不超过前备案证明确的完工日期。</w:t>
      </w:r>
    </w:p>
    <w:p w14:paraId="6B216F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（6）项目融资租赁补贴期以完工日期往前核算，最长不超过3年。</w:t>
      </w:r>
    </w:p>
    <w:p w14:paraId="2AC29C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（7）项目未获得过省级企业技术改造资金以外的省工业和信息化领域财政资金支持。</w:t>
      </w:r>
    </w:p>
    <w:p w14:paraId="7EA3B0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（8）项目投资按规定纳入技术改造投资统计。</w:t>
      </w:r>
    </w:p>
    <w:p w14:paraId="2BE1ED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二、项目申报与评审的工作流程</w:t>
      </w:r>
    </w:p>
    <w:p w14:paraId="6EBA6A8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（一）申请材料要求</w:t>
      </w:r>
    </w:p>
    <w:p w14:paraId="0D55DCA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1、申请报告封面、目录要求</w:t>
      </w:r>
    </w:p>
    <w:p w14:paraId="5DC594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封面统一标明为“2027年广东省制造业当家重点任务保障专项企业技术改造资金项目库申请报告”，标明申报单位、申报日期和支持方式（见省通知附件2-1），目录应列明所提交的各种文件材料及页码。</w:t>
      </w:r>
    </w:p>
    <w:p w14:paraId="77204E8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2、项目资金申请表</w:t>
      </w:r>
      <w:r>
        <w:rPr>
          <w:rFonts w:hint="eastAsia" w:ascii="仿宋" w:hAnsi="仿宋" w:eastAsia="仿宋" w:cs="仿宋"/>
          <w:sz w:val="32"/>
          <w:szCs w:val="32"/>
        </w:rPr>
        <w:t>（见省通知附件2-2）</w:t>
      </w:r>
    </w:p>
    <w:p w14:paraId="35C6118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3、申请报告具体内容</w:t>
      </w:r>
    </w:p>
    <w:p w14:paraId="4B5FF2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2027年广东省制造业当家重点任务保障专项企业技术改造资金项目申请报告编写提纲：</w:t>
      </w:r>
    </w:p>
    <w:p w14:paraId="24D601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（1）项目单位基本情况</w:t>
      </w:r>
    </w:p>
    <w:p w14:paraId="70FD37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设立情况，主营业务情况，近期财务状况，主要投资项目，固定资产，职工及技术人员数，厂房面积等。</w:t>
      </w:r>
    </w:p>
    <w:p w14:paraId="1154B1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（2）项目实施情况</w:t>
      </w:r>
    </w:p>
    <w:p w14:paraId="7818C5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①项目评价依据。项目备案、核准或审批文件、项目建设目标、主要建设内容、项目建设期限、项目总投资、资金来源等。</w:t>
      </w:r>
    </w:p>
    <w:p w14:paraId="2D99DB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②投资完成情况。包括总投资、固定资产投资完成情况以及资金筹措、使用情况等；财务决算情况，投资节约或超支情况及原因分析等。</w:t>
      </w:r>
    </w:p>
    <w:p w14:paraId="765C17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③改造内容完成情况。包括总目标完成情况、用地情况； 厂房建筑面积、设备、公用设施建设、安装工程等完成情况；列明项目新增设备清单，涉及设备名称、型号规格、产地、数量、金额以及资产登记时间等情况。实施过程中如有变更的，要说明变更原因、变更内容和批准单位。</w:t>
      </w:r>
    </w:p>
    <w:p w14:paraId="4EDE76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④项目利用“四新”开展技术改造情况。包括项目采用哪些新技术、新工艺、新材料、新设备，以及取得或预计取得提升、优化效果等情况。（“四新”详细内容可参考《广东省工业企业技术改造“新技术、新工艺、新材料、新设备”应用指导目录（2026年版）》）</w:t>
      </w:r>
    </w:p>
    <w:p w14:paraId="31B8EB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（3）技术经济社会效益情况</w:t>
      </w:r>
    </w:p>
    <w:p w14:paraId="3D86E7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①技术进步情况。改造前后的产品（服务）生产能力、产品质量、技术性能指标情况，以及信息化技术应用情况、推动行业技术进步情况等。</w:t>
      </w:r>
    </w:p>
    <w:p w14:paraId="2D11E9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②经济效益情况。改造后实现的经济效益对比或预期经济效益分析，包括产品名称、产量、产值、销售收入、利润、税金、创汇等主要经济指标情况。如项目产生经济效益的，列明项目主要经济指标情况。</w:t>
      </w:r>
    </w:p>
    <w:p w14:paraId="43AFF8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③社会效益情况。项目对于产业整体提质升级和竞争力提升的作用，在环境保护、资源节约、劳动就业、安全生产等方面产生的效益或预期社会效益分析。</w:t>
      </w:r>
    </w:p>
    <w:p w14:paraId="3E95DA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④结论。是否完成项目主要建设内容以及技术经济指标、项目单位整体生产运营等总体情况概述，分析取得的经验做法和存在的问题不足。</w:t>
      </w:r>
    </w:p>
    <w:p w14:paraId="36CD69A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4、申请报告附件</w:t>
      </w:r>
    </w:p>
    <w:p w14:paraId="41F509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（1）由工业和信息化主管部门出具的技术改造备案、核准或审批文件，民爆安全生产企业调整生产能力或品种的改建、扩建技术改造项目提供工信部的民用爆炸物品生产许可证；</w:t>
      </w:r>
    </w:p>
    <w:p w14:paraId="6F7607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（2）项目按规定申报技术改造投资统计相关材料；</w:t>
      </w:r>
    </w:p>
    <w:p w14:paraId="3EF454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（3）工业企业营业执照复印件；</w:t>
      </w:r>
    </w:p>
    <w:p w14:paraId="5B9BB4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（4）经会计师事务所出具的2025年度财务审计报告；</w:t>
      </w:r>
    </w:p>
    <w:p w14:paraId="45F034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对购置的生产用设备，提供购置设备清单（设备名称、规格型号、品牌、数量及价格等）、设备发票、支付凭证、设备照片、铭牌照片、购置合同、转固凭证等，并填写设备明细表（见省通知附件3-1，申报设备奖励方式提供）；申请奖补的设备铭牌信息与固定资产明细表、发票原则上保持对应，如不一致，企业应对不一致情况进行说明；若与设备交易方存在关联关系，企业应对关联交易的设备价格公允性等情况进行说明。</w:t>
      </w:r>
    </w:p>
    <w:p w14:paraId="633090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（6）符合条件的保险增信银行借款合同、保单（技改项目保险增信）、相关批单、支付凭证及全额保费发票（不含中介费）等，并填写保费明细表（见省通知附件3-2，申报保险增信补贴方式提供）</w:t>
      </w:r>
    </w:p>
    <w:p w14:paraId="4DA9AC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企业与融资租赁公司签订的融资租赁合同（包含资产转让协议、还款计划表）、融资租赁款收款银行回单或设备购置发票、租金支付凭证（包含转账凭证、租息发票）、租赁设备清单（包含购置发票或设备价值评估报告）等，并填写融资租赁款明细表（见省通知附件3-3，申报融资租赁补贴方式提供）。</w:t>
      </w:r>
    </w:p>
    <w:p w14:paraId="651E8E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（8）项目申报承诺书（见省通知附件4）。</w:t>
      </w:r>
    </w:p>
    <w:p w14:paraId="69CCCB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9）无违法违规证明公共信用信息报告（项目单位登录“信用广东”https://credit.gd.gov.cn/index.html，勾选建筑市场监管、安全生产、税务、自然资源、生态环境、能源等相关领域，查询近三年记录并下载；如在报告查询期内某个领域无法出具证明报告，企业应对该领域违法违规情况进行说明并提供已完成行政处罚信息信用修复的相关佐证材料）。</w:t>
      </w:r>
    </w:p>
    <w:p w14:paraId="122142D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（二）项目评审流程及要求</w:t>
      </w:r>
    </w:p>
    <w:p w14:paraId="4CE35BA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1、接收申请材料</w:t>
      </w:r>
      <w:r>
        <w:rPr>
          <w:rFonts w:hint="eastAsia" w:ascii="仿宋" w:hAnsi="仿宋" w:eastAsia="仿宋" w:cs="仿宋"/>
          <w:sz w:val="32"/>
          <w:szCs w:val="32"/>
        </w:rPr>
        <w:t>。企业将申报材料（纸质版材料一式4份、电子版材料用U盘拷贝1份），加盖单位公章送所属地政务服务中心政策兑现窗口（地址及联系方式详见附件5），并同时登录省工业和信息化厅“数字工信”平台（网址https://gdii.gd.gov.cn/szgx/，技术支持电话：020-87783823）在线提交项目申请资料，申报截止日期为2026年8月13日，未在规定时间登录平台提交申请资料的项目不得纳入2027年省级企业技术改造项目库。</w:t>
      </w:r>
    </w:p>
    <w:p w14:paraId="0357D99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2、组织初审。</w:t>
      </w:r>
      <w:r>
        <w:rPr>
          <w:rFonts w:hint="eastAsia" w:ascii="仿宋" w:hAnsi="仿宋" w:eastAsia="仿宋" w:cs="仿宋"/>
          <w:sz w:val="32"/>
          <w:szCs w:val="32"/>
        </w:rPr>
        <w:t>各县（区）工业和信息化主管部门主动对接本县（区）政务服务中心，按要求汇总企业申报材料，按照“谁推荐，谁负责”的原则，严把项目审核关，推荐上报项目须经单位党组会审议通过，并登录广东省工业和信息化厅“数字工信”平台完成项目初审推荐，</w:t>
      </w:r>
      <w:r>
        <w:rPr>
          <w:rFonts w:hint="eastAsia" w:ascii="仿宋" w:hAnsi="仿宋" w:eastAsia="仿宋" w:cs="仿宋"/>
          <w:sz w:val="32"/>
          <w:szCs w:val="32"/>
          <w:lang w:eastAsia="zh-CN"/>
        </w:rPr>
        <w:t>重点关注以下情况：</w:t>
      </w:r>
      <w:r>
        <w:rPr>
          <w:rFonts w:hint="eastAsia" w:ascii="仿宋" w:hAnsi="仿宋" w:eastAsia="仿宋" w:cs="仿宋"/>
          <w:sz w:val="32"/>
          <w:szCs w:val="32"/>
        </w:rPr>
        <w:t>一是关注企业对存在关联交易的设备价格公允性等情况是否提供相关说明；二是对企业《无违法违规证明公共信用信息报告》中要求提供但无法显示的领域的违法违规情况说明及信用修复情况进行确认。各县区工信部门于2026年8月20日前正式行文上报市工业和信息化局，并附上企业申报材料、项目汇总表、绩效目标申报表、要件审查表、局党组会意见等。</w:t>
      </w:r>
    </w:p>
    <w:p w14:paraId="62104E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市工业和信息化局组织对县区上报的项目申请材料进行审核。</w:t>
      </w:r>
    </w:p>
    <w:p w14:paraId="4AED219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3、成立专家组开展评审</w:t>
      </w:r>
      <w:r>
        <w:rPr>
          <w:rFonts w:hint="eastAsia" w:ascii="仿宋" w:hAnsi="仿宋" w:eastAsia="仿宋" w:cs="仿宋"/>
          <w:sz w:val="32"/>
          <w:szCs w:val="32"/>
        </w:rPr>
        <w:t>。市工业和信息化局按程序遴选符合资质要求的第三方机构成立专家组开展评审（含完工评价），评审专家须在“数字工信”平台专家库中进行抽取（创建评审会议后自动跳转），若在“数字工信”平台专家库无法抽满评审专家，可在本市专家库每个评审组补充抽取1-2名专家参与评审。委托第三方机构开展评审时，应落实第三方机构遴选回避工作，使用“数字工信”平台加强对第三方机构评审全过程的监督管理。专家组一般采取资料审查、会议评审和现场核查相结合进行，开展评审时应重点核对确认企业申请奖补的设备铭牌信息与固定资产明细表、发票是否原则上保持一致，并对存在关联交易的设备价格公允性进行确认；专家组到项目实施现场核查后应出具专家现场核查评价表（见省通知附件2-3）。评审完成后，专家组应明确打分结果并综合形成评审意见（见省通知附件2-4）。如为新赛道产业生产端技术改造项目，须由专家进行确认，并提出明确意见（2026年省重点支持的工信领域新赛道产业目录详见省通知附件2-5）。所有评审相关材料、现场照片等应及时上传“数字工信”平台。</w:t>
      </w:r>
    </w:p>
    <w:p w14:paraId="208967D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4、项目完工的基本条件：</w:t>
      </w:r>
    </w:p>
    <w:p w14:paraId="60D109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已完成既定的投资计划和主要建设内容且固定资产投资计划完成误差范围最大不超过20%；固定资产投资额变化在20%以上或项目建设内容发生重大变化的项目，应经履行相关变更手续后满足固定资产投资完成误差范围不超过20%。项目完成固定资产投资额是指自项目原始备案</w:t>
      </w:r>
    </w:p>
    <w:p w14:paraId="017673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通过日后至完工日期间项目实际发生的固定资产投资额。核算项目完成的固定资产投资额时，应遵循发票金额与付款金额从小原则。</w:t>
      </w:r>
    </w:p>
    <w:p w14:paraId="066BA6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（2）项目已完成规定的技术指标或实现预期的产能效益目标；</w:t>
      </w:r>
    </w:p>
    <w:p w14:paraId="01CF6B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（3）项目实际建设地应与工信部门出具的技术改造备案、核准或审批文件保持一致；</w:t>
      </w:r>
    </w:p>
    <w:p w14:paraId="4DB1C41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5、项目评审实行回避制度</w:t>
      </w:r>
      <w:r>
        <w:rPr>
          <w:rFonts w:hint="eastAsia" w:ascii="仿宋" w:hAnsi="仿宋" w:eastAsia="仿宋" w:cs="仿宋"/>
          <w:sz w:val="32"/>
          <w:szCs w:val="32"/>
        </w:rPr>
        <w:t>。与项目单位有利害关系或有其他关系可能影响评审结果的人员，不得作为专家组成员参与项目评审。评审专家人数原则上为单数，一般由5位以上（含5位）专家组成，且来自不同单位，其中应至少有2名财务管理专家，原则上至少3名专家具有高级职称。参加评审的相关人员，应严格遵守保密协定，未经权利人许可，不得披露、使用或允许他人使用、转让评审过程中知悉的项目单位商业和技术秘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39D5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F870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4F870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96460"/>
    <w:rsid w:val="2DC162CC"/>
    <w:rsid w:val="46C37A38"/>
    <w:rsid w:val="4C575D46"/>
    <w:rsid w:val="7FD2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5224</Words>
  <Characters>5397</Characters>
  <Lines>0</Lines>
  <Paragraphs>0</Paragraphs>
  <TotalTime>2</TotalTime>
  <ScaleCrop>false</ScaleCrop>
  <LinksUpToDate>false</LinksUpToDate>
  <CharactersWithSpaces>5400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2026-07-27T10:08:00Z</dcterms:created>
  <dc:creator>Administrator</dc:creator>
  <cp:lastModifiedBy>孔洁珍</cp:lastModifiedBy>
  <dcterms:modified xsi:type="dcterms:W3CDTF">2026-07-30T02:46:04Z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eyJoZGlkIjoiMGJjM2EzNDNjZTIxODkwYTE5YWViNGI1NjQzN2VmYTEifQ==</vt:lpwstr>
  </property>
  <property fmtid="{D5CDD505-2E9C-101B-9397-08002B2CF9AE}" pid="4" name="ICV">
    <vt:lpwstr>6BC7912A3B4A49AF893B3DD4F347817F_12</vt:lpwstr>
  </property>
</Properties>
</file>