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  <w:t>附件4-3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入库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申请报告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（对主平台标准厂房建设予以奖励方向）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年省级促进产业有序转移专项资金入库项目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报告编写提纲：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企业</w:t>
      </w:r>
      <w:r>
        <w:rPr>
          <w:rFonts w:hint="eastAsia" w:ascii="Times New Roman" w:hAnsi="Times New Roman" w:eastAsia="黑体" w:cs="Times New Roman"/>
          <w:sz w:val="32"/>
          <w:szCs w:val="32"/>
        </w:rPr>
        <w:t>、标准厂房基本</w:t>
      </w:r>
      <w:r>
        <w:rPr>
          <w:rFonts w:ascii="Times New Roman" w:hAnsi="Times New Roman" w:eastAsia="黑体" w:cs="Times New Roman"/>
          <w:sz w:val="32"/>
          <w:szCs w:val="32"/>
        </w:rPr>
        <w:t>情况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（一）企业基本情况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项目企业设立情况、股权结构、历史沿革，主要股东概况，主营业务情况，在行业中的地位和竞争力，现有生产、研发能力，近期财务状况，主要投资项目，未来发展战略等。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标准厂房基本情况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包括标准厂房的建设成本、面积、容积率、申报区域企业入住率、实际归属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平台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园区开发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公司的持股比例等内容要点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（三）......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项目建设的基本情况，包括建设背景、建设地点、主要建设内容和规模、产品和工程技术方案、投资规模和资金筹措方案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项目立项、竣工、资金使用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等内容。</w:t>
      </w:r>
      <w:r>
        <w:rPr>
          <w:rFonts w:hint="eastAsia" w:ascii="仿宋_GB2312" w:eastAsia="仿宋_GB2312"/>
          <w:sz w:val="32"/>
          <w:szCs w:val="32"/>
        </w:rPr>
        <w:t>重点阐明标准厂房建设成本、面积、资金使用、容积率以及申报区域企业入住率、实际归属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主</w:t>
      </w:r>
      <w:r>
        <w:rPr>
          <w:rFonts w:hint="eastAsia" w:ascii="仿宋_GB2312" w:eastAsia="仿宋_GB2312"/>
          <w:sz w:val="32"/>
          <w:szCs w:val="32"/>
        </w:rPr>
        <w:t>平台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园区开发</w:t>
      </w:r>
      <w:r>
        <w:rPr>
          <w:rFonts w:hint="eastAsia" w:ascii="仿宋_GB2312" w:eastAsia="仿宋_GB2312"/>
          <w:sz w:val="32"/>
          <w:szCs w:val="32"/>
        </w:rPr>
        <w:t>公司的持股比例等内容，可以用表格形式表示；并提供标准厂房建成后入住企业的产业定位统计情况（必须与主平台的主导产业相衔接）。以文字说明佐证材料包括与申报条件有关的财务报表、资金投入明细、审计报告、第三方检测报告等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符合政策条件的情况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与本方向奖励资金的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逐条对应情况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并进行符合性阐述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，明确提出申请奖补的资金额（含计算过程）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注：以上提及内容项目必须具备，如若有其他需要增加内容，企业可根据实际项目情况增加。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3C983"/>
    <w:multiLevelType w:val="singleLevel"/>
    <w:tmpl w:val="9FF3C9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JhZmE5ZDg5ZWU4Nzg3ZDQyYzY0NTEzODVmNzI3OTYifQ=="/>
  </w:docVars>
  <w:rsids>
    <w:rsidRoot w:val="00BA7D3C"/>
    <w:rsid w:val="0008055E"/>
    <w:rsid w:val="001B498F"/>
    <w:rsid w:val="004E1F09"/>
    <w:rsid w:val="00BA7D3C"/>
    <w:rsid w:val="03110CBE"/>
    <w:rsid w:val="228B2AF8"/>
    <w:rsid w:val="3CC43BEA"/>
    <w:rsid w:val="45516C63"/>
    <w:rsid w:val="478B4BB6"/>
    <w:rsid w:val="4BFC500D"/>
    <w:rsid w:val="618F01B1"/>
    <w:rsid w:val="6453530E"/>
    <w:rsid w:val="647D23F0"/>
    <w:rsid w:val="65485B0C"/>
    <w:rsid w:val="718F7138"/>
    <w:rsid w:val="7ABF656D"/>
    <w:rsid w:val="7DB7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</Words>
  <Characters>186</Characters>
  <Lines>1</Lines>
  <Paragraphs>1</Paragraphs>
  <TotalTime>2</TotalTime>
  <ScaleCrop>false</ScaleCrop>
  <LinksUpToDate>false</LinksUpToDate>
  <CharactersWithSpaces>217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2024-02-05T03:54:00Z</dcterms:created>
  <dc:creator>Administrator</dc:creator>
  <cp:lastModifiedBy>郑蒋馨</cp:lastModifiedBy>
  <cp:lastPrinted>2024-02-19T07:15:00Z</cp:lastPrinted>
  <dcterms:modified xsi:type="dcterms:W3CDTF">2025-06-18T04:13:15Z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8FA5EDD5A17D48F2B84325967107DE35_13</vt:lpwstr>
  </property>
</Properties>
</file>