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河医保发〔20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河源市医疗保障局关于印发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诊疗项目支付比例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医用耗材目录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支付比例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（2021年）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各县（区）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医疗保障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局、</w:t>
      </w:r>
      <w:r>
        <w:rPr>
          <w:rFonts w:hint="eastAsia" w:ascii="仿宋" w:hAnsi="仿宋" w:eastAsia="仿宋" w:cs="仿宋"/>
          <w:sz w:val="32"/>
        </w:rPr>
        <w:t>江东新区社会事务局</w:t>
      </w:r>
      <w:r>
        <w:rPr>
          <w:rFonts w:hint="eastAsia" w:ascii="仿宋" w:hAnsi="仿宋" w:eastAsia="仿宋" w:cs="仿宋"/>
          <w:sz w:val="32"/>
          <w:lang w:eastAsia="zh-CN"/>
        </w:rPr>
        <w:t>，市医保管理中心：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广东省医疗保障局广东省人力资源和社会保障厅《关于印发广东省基本医疗保险、工伤保险和生育保险诊疗项目目录（2021年）的通知》（粤医保发〔2021〕13号）、《关于印发广东省基本医疗保险、工伤保险和生育保险医用耗材目录（2021年）的通知》（粤医保发〔2021〕14号）有关要求，现就诊疗项目目录个人先支付比例、医用耗材目录个人先支付比例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一、《关于印发广东省基本医疗保险、工伤保险和生育保险诊疗项目目录（2021年）的通知》内“备注”栏标有“o”的诊疗项目，个人先自付比例为25%。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《关于印发广东省基本医疗保险、工伤保险和生育保险诊疗项目目录（2021年）的通知》内第2203号“心理治疗”的基金支付标准为初级职称80元/半小时、中级职称90元/半小时、高级职称100元/半小时。“大肠水疗”暂不纳入基金支付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三、广东省基本医疗保险、工伤保险和生育保险医用耗材目录（2021年）个人先自付比例如下：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500元（含500元）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不设个人先自付比例。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国产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基本医疗保险、生育保险医用耗材，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耗材总费用500元以上、20000元（含20000元）以下的，个人先自付比例为20%；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耗材总费用20000元以上、50000元（含50000元）以下的，个人先自付比例为25%；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耗材总费用50000元以上、100000元（含100000元）以下的，个人先自付比例为30%；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耗材总费用100000元以上的，个人先自付比例为35%。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）进口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基本医疗保险、生育保险医用耗材个人先自付比例为45%。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河源市医疗保障局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2021年8月23日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663A2"/>
    <w:multiLevelType w:val="singleLevel"/>
    <w:tmpl w:val="A54663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64D17"/>
    <w:rsid w:val="596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2021-07-21T03:30:00Z</dcterms:created>
  <dc:creator>袁琛</dc:creator>
  <cp:lastModifiedBy>袁琛</cp:lastModifiedBy>
  <dcterms:modified xsi:type="dcterms:W3CDTF">2021-07-21T03:31:38Z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