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猕猴桃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属</w:t>
      </w:r>
      <w:r>
        <w:rPr>
          <w:rFonts w:hint="eastAsia" w:ascii="黑体" w:hAnsi="黑体" w:eastAsia="黑体"/>
        </w:rPr>
        <w:t>ICS 65.020.20</w:t>
      </w:r>
    </w:p>
    <w:p>
      <w:pPr>
        <w:rPr>
          <w:rFonts w:ascii="黑体" w:hAnsi="黑体" w:eastAsia="黑体"/>
        </w:rPr>
      </w:pPr>
      <w:r>
        <w:rPr>
          <w:rFonts w:ascii="黑体" w:hAnsi="黑体" w:eastAsia="黑体"/>
        </w:rPr>
        <w:t xml:space="preserve">CCS </w:t>
      </w:r>
      <w:r>
        <w:rPr>
          <w:rFonts w:hint="eastAsia" w:ascii="黑体" w:hAnsi="黑体" w:eastAsia="黑体"/>
        </w:rPr>
        <w:t>B 31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margin">
                  <wp:posOffset>62230</wp:posOffset>
                </wp:positionH>
                <wp:positionV relativeFrom="margin">
                  <wp:posOffset>848360</wp:posOffset>
                </wp:positionV>
                <wp:extent cx="5215255" cy="751840"/>
                <wp:effectExtent l="0" t="0" r="444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5255" cy="751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rPr>
                                <w:rFonts w:hint="eastAsia"/>
                                <w:sz w:val="144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eastAsia="zh-CN"/>
                              </w:rPr>
                              <w:t>广东省河源市农业地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方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eastAsia="zh-CN"/>
                              </w:rPr>
                              <w:t>标准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9pt;margin-top:66.8pt;height:59.2pt;width:410.65pt;mso-position-horizontal-relative:margin;mso-position-vertical-relative:margin;z-index:251666432;mso-width-relative:page;mso-height-relative:page;" fillcolor="#FFFFFF" filled="t" stroked="f" coordsize="21600,21600" o:gfxdata="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0YSnHYAAAACQEAAA8AAAAAAAAAAQAgAAAA&#10;IgAAAGRycy9kb3ducmV2LnhtbFBLAQIUABQAAAAIAIdO4kDvep/j0gEAAJsDAAAOAAAAAAAAAAEA&#10;IAAAACc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5"/>
                        <w:rPr>
                          <w:rFonts w:hint="eastAsia"/>
                          <w:sz w:val="144"/>
                          <w:szCs w:val="56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eastAsia="zh-CN"/>
                        </w:rPr>
                        <w:t>广东省河源市农业地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方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eastAsia="zh-CN"/>
                        </w:rPr>
                        <w:t>标准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188595</wp:posOffset>
                </wp:positionV>
                <wp:extent cx="61214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6pt;margin-top:14.85pt;height:0pt;width:482pt;z-index:251660288;mso-width-relative:page;mso-height-relative:page;" filled="f" stroked="t" coordsize="21600,21600" o:gfxdata="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pv5tcAAAAJAQAADwAAAAAAAAABACAAAAAiAAAAZHJzL2Rvd25yZXYueG1sUEsB&#10;AhQAFAAAAAgAh07iQFvQMij2AQAA5QMAAA4AAAAAAAAAAQAgAAAAJgEAAGRycy9lMm9Eb2MueG1s&#10;UEsFBgAAAAAGAAYAWQEAAI4FAAAAAA=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-309245</wp:posOffset>
                </wp:positionH>
                <wp:positionV relativeFrom="margin">
                  <wp:posOffset>1530985</wp:posOffset>
                </wp:positionV>
                <wp:extent cx="6154420" cy="756285"/>
                <wp:effectExtent l="0" t="0" r="1778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420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6"/>
                              <w:wordWrap w:val="0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—202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  <w:p>
                            <w:pPr>
                              <w:pStyle w:val="16"/>
                              <w:ind w:firstLine="7000" w:firstLineChars="2500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6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6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7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7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6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6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6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16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35pt;margin-top:120.55pt;height:59.55pt;width:484.6pt;mso-position-horizontal-relative:margin;mso-position-vertical-relative:margin;z-index:251659264;mso-width-relative:page;mso-height-relative:page;" fillcolor="#FFFFFF" filled="t" stroked="f" coordsize="21600,21600" o:gfxdata="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Nv7pT2gAAAAsBAAAPAAAAAAAAAAEAIAAAACIA&#10;AABkcnMvZG93bnJldi54bWxQSwECFAAUAAAACACHTuJA/AkCx84BAACbAwAADgAAAAAAAAABACAA&#10;AAAp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6"/>
                        <w:wordWrap w:val="0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—202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  <w:p>
                      <w:pPr>
                        <w:pStyle w:val="16"/>
                        <w:ind w:firstLine="7000" w:firstLineChars="2500"/>
                        <w:jc w:val="both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6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6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7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7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6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6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6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16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margin">
                  <wp:posOffset>3891280</wp:posOffset>
                </wp:positionH>
                <wp:positionV relativeFrom="margin">
                  <wp:posOffset>7370445</wp:posOffset>
                </wp:positionV>
                <wp:extent cx="2019300" cy="312420"/>
                <wp:effectExtent l="0" t="0" r="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jc w:val="center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hint="eastAsia" w:ascii="黑体" w:hAnsi="黑体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-</w:t>
                            </w:r>
                            <w:r>
                              <w:rPr>
                                <w:rFonts w:ascii="黑体" w:hAnsi="黑体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-</w:t>
                            </w:r>
                            <w:r>
                              <w:rPr>
                                <w:rFonts w:ascii="黑体" w:hAnsi="黑体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实施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4pt;margin-top:580.35pt;height:24.6pt;width:159pt;mso-position-horizontal-relative:margin;mso-position-vertical-relative:margin;z-index:251661312;mso-width-relative:page;mso-height-relative:page;" fillcolor="#FFFFFF" filled="t" stroked="f" coordsize="21600,21600" o:gfxdata="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rJA82QAAAA0BAAAPAAAAAAAAAAEAIAAAACIA&#10;AABkcnMvZG93bnJldi54bWxQSwECFAAUAAAACACHTuJA5Aho4s8BAACbAwAADgAAAAAAAAABACAA&#10;AAAoAQAAZHJzL2Uyb0RvYy54bWxQSwUGAAAAAAYABgBZAQAAaQ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jc w:val="center"/>
                        <w:rPr>
                          <w:rFonts w:ascii="黑体" w:hAnsi="黑体"/>
                        </w:rPr>
                      </w:pPr>
                      <w:r>
                        <w:rPr>
                          <w:rFonts w:hint="eastAsia" w:ascii="黑体" w:hAnsi="黑体"/>
                        </w:rPr>
                        <w:t>202</w:t>
                      </w:r>
                      <w:r>
                        <w:rPr>
                          <w:rFonts w:hint="eastAsia" w:ascii="黑体" w:hAnsi="黑体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黑体" w:hAnsi="黑体"/>
                        </w:rPr>
                        <w:t>-</w:t>
                      </w:r>
                      <w:r>
                        <w:rPr>
                          <w:rFonts w:ascii="黑体" w:hAnsi="黑体"/>
                        </w:rPr>
                        <w:t>XX</w:t>
                      </w:r>
                      <w:r>
                        <w:rPr>
                          <w:rFonts w:hint="eastAsia" w:ascii="黑体" w:hAnsi="黑体"/>
                        </w:rPr>
                        <w:t>-</w:t>
                      </w:r>
                      <w:r>
                        <w:rPr>
                          <w:rFonts w:ascii="黑体" w:hAnsi="黑体"/>
                        </w:rPr>
                        <w:t>XX</w:t>
                      </w:r>
                      <w:r>
                        <w:rPr>
                          <w:rFonts w:hint="eastAsia" w:ascii="黑体" w:hAnsi="黑体"/>
                        </w:rPr>
                        <w:t>实施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jc w:val="center"/>
        <w:rPr>
          <w:rFonts w:hint="eastAsia" w:ascii="黑体" w:hAnsi="黑体" w:eastAsia="黑体" w:cs="Times New Roman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Times New Roman"/>
          <w:b/>
          <w:bCs/>
          <w:sz w:val="52"/>
          <w:szCs w:val="52"/>
        </w:rPr>
        <w:t>猕猴桃</w:t>
      </w:r>
      <w:r>
        <w:rPr>
          <w:rFonts w:hint="eastAsia" w:ascii="黑体" w:hAnsi="黑体" w:eastAsia="黑体" w:cs="Times New Roman"/>
          <w:b/>
          <w:bCs/>
          <w:sz w:val="52"/>
          <w:szCs w:val="52"/>
          <w:lang w:val="en-US" w:eastAsia="zh-CN"/>
        </w:rPr>
        <w:t>种植技术规程</w:t>
      </w:r>
    </w:p>
    <w:p>
      <w:pPr>
        <w:jc w:val="center"/>
        <w:rPr>
          <w:rFonts w:hint="default" w:ascii="黑体" w:hAnsi="黑体" w:eastAsia="黑体" w:cs="Times New Roman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cs="Times New Roman"/>
          <w:b/>
          <w:bCs/>
          <w:sz w:val="72"/>
          <w:szCs w:val="72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3089275</wp:posOffset>
                </wp:positionV>
                <wp:extent cx="612140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.35pt;margin-top:243.25pt;height:0pt;width:482pt;z-index:251665408;mso-width-relative:page;mso-height-relative:page;" filled="f" stroked="t" coordsize="21600,21600" o:gfxdata="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Y4FY2AAAAAsBAAAPAAAAAAAAAAEAIAAAACIAAABkcnMvZG93bnJldi54bWxQ&#10;SwECFAAUAAAACACHTuJAujVdd/cBAADlAwAADgAAAAAAAAABACAAAAAnAQAAZHJzL2Uyb0RvYy54&#10;bWxQSwUGAAAAAAYABgBZAQAAkAUAAAAA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cs="Times New Roman"/>
        </w:rPr>
      </w:pPr>
    </w:p>
    <w:p>
      <w:pPr>
        <w:pStyle w:val="3"/>
        <w:bidi w:val="0"/>
        <w:snapToGrid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outlineLvl w:val="0"/>
        <w:rPr>
          <w:rFonts w:hint="eastAsia" w:ascii="Times New Roman" w:eastAsia="黑体"/>
          <w:b w:val="0"/>
          <w:sz w:val="28"/>
        </w:rPr>
      </w:pP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margin">
                  <wp:posOffset>-242570</wp:posOffset>
                </wp:positionH>
                <wp:positionV relativeFrom="margin">
                  <wp:posOffset>7964805</wp:posOffset>
                </wp:positionV>
                <wp:extent cx="6120130" cy="363220"/>
                <wp:effectExtent l="0" t="0" r="13970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河源市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市场监督管理局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发布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1pt;margin-top:627.15pt;height:28.6pt;width:481.9pt;mso-position-horizontal-relative:margin;mso-position-vertical-relative:margin;z-index:251664384;mso-width-relative:page;mso-height-relative:page;" fillcolor="#FFFFFF" filled="t" stroked="f" coordsize="21600,21600" o:gfxdata="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zk9cvbAAAADQEAAA8AAAAAAAAAAQAgAAAA&#10;IgAAAGRycy9kb3ducmV2LnhtbFBLAQIUABQAAAAIAIdO4kDhHvnzzwEAAJsDAAAOAAAAAAAAAAEA&#10;IAAAACoBAABkcnMvZTJvRG9jLnhtbFBLBQYAAAAABgAGAFkBAABrBQAAAAA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河源市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市场监督管理局</w:t>
                      </w:r>
                      <w:r>
                        <w:rPr>
                          <w:rFonts w:hint="eastAsia"/>
                          <w:lang w:eastAsia="zh-CN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2660650</wp:posOffset>
                </wp:positionV>
                <wp:extent cx="612140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8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1pt;margin-top:209.5pt;height:0pt;width:482pt;z-index:251663360;mso-width-relative:page;mso-height-relative:page;" filled="f" stroked="t" coordsize="21600,21600" o:gfxdata="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rc4JNcAAAALAQAADwAAAAAAAAABACAAAAAiAAAAZHJzL2Rvd25yZXYueG1sUEsBAhQA&#10;FAAAAAgAh07iQCNxgB3zAQAA5QMAAA4AAAAAAAAAAQAgAAAAJgEAAGRycy9lMm9Eb2MueG1sUEsF&#10;BgAAAAAGAAYAWQEAAIsFAAAAAA==&#10;">
                <v:fill on="f" focussize="0,0"/>
                <v:stroke weight="1pt" color="#800008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cs="Times New Roman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-309245</wp:posOffset>
                </wp:positionH>
                <wp:positionV relativeFrom="margin">
                  <wp:posOffset>7370445</wp:posOffset>
                </wp:positionV>
                <wp:extent cx="2019300" cy="312420"/>
                <wp:effectExtent l="0" t="0" r="0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1"/>
                              <w:rPr>
                                <w:rFonts w:ascii="黑体" w:hAnsi="黑体"/>
                              </w:rPr>
                            </w:pPr>
                            <w:r>
                              <w:rPr>
                                <w:rFonts w:hint="eastAsia" w:ascii="黑体" w:hAnsi="黑体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-</w:t>
                            </w:r>
                            <w:r>
                              <w:rPr>
                                <w:rFonts w:ascii="黑体" w:hAnsi="黑体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-</w:t>
                            </w:r>
                            <w:r>
                              <w:rPr>
                                <w:rFonts w:ascii="黑体" w:hAnsi="黑体"/>
                              </w:rPr>
                              <w:t>XX</w:t>
                            </w:r>
                            <w:r>
                              <w:rPr>
                                <w:rFonts w:hint="eastAsia" w:ascii="黑体" w:hAnsi="黑体"/>
                              </w:rPr>
                              <w:t>发布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35pt;margin-top:580.35pt;height:24.6pt;width:159pt;mso-position-horizontal-relative:margin;mso-position-vertical-relative:margin;z-index:251662336;mso-width-relative:page;mso-height-relative:page;" fillcolor="#FFFFFF" filled="t" stroked="f" coordsize="21600,21600" o:gfxdata="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Ib8OQNsAAAANAQAADwAAAAAAAAABACAAAAAi&#10;AAAAZHJzL2Rvd25yZXYueG1sUEsBAhQAFAAAAAgAh07iQAw4runOAQAAmwMAAA4AAAAAAAAAAQAg&#10;AAAAKgEAAGRycy9lMm9Eb2MueG1sUEsFBgAAAAAGAAYAWQEAAGo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1"/>
                        <w:rPr>
                          <w:rFonts w:ascii="黑体" w:hAnsi="黑体"/>
                        </w:rPr>
                      </w:pPr>
                      <w:r>
                        <w:rPr>
                          <w:rFonts w:hint="eastAsia" w:ascii="黑体" w:hAnsi="黑体"/>
                        </w:rPr>
                        <w:t>202</w:t>
                      </w:r>
                      <w:r>
                        <w:rPr>
                          <w:rFonts w:hint="eastAsia" w:ascii="黑体" w:hAnsi="黑体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黑体" w:hAnsi="黑体"/>
                        </w:rPr>
                        <w:t>-</w:t>
                      </w:r>
                      <w:r>
                        <w:rPr>
                          <w:rFonts w:ascii="黑体" w:hAnsi="黑体"/>
                        </w:rPr>
                        <w:t>XX</w:t>
                      </w:r>
                      <w:r>
                        <w:rPr>
                          <w:rFonts w:hint="eastAsia" w:ascii="黑体" w:hAnsi="黑体"/>
                        </w:rPr>
                        <w:t>-</w:t>
                      </w:r>
                      <w:r>
                        <w:rPr>
                          <w:rFonts w:ascii="黑体" w:hAnsi="黑体"/>
                        </w:rPr>
                        <w:t>XX</w:t>
                      </w:r>
                      <w:r>
                        <w:rPr>
                          <w:rFonts w:hint="eastAsia" w:ascii="黑体" w:hAnsi="黑体"/>
                        </w:rPr>
                        <w:t>发布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cs="Times New Roman"/>
        </w:rPr>
        <w:br w:type="page"/>
      </w:r>
      <w:bookmarkStart w:id="0" w:name="_Toc30678"/>
      <w:r>
        <w:rPr>
          <w:rFonts w:hint="eastAsia" w:ascii="Times New Roman" w:eastAsia="黑体"/>
          <w:b w:val="0"/>
          <w:sz w:val="28"/>
        </w:rPr>
        <w:t>前言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猕猴桃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猕猴桃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科，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猕猴桃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属</w:t>
      </w:r>
      <w:r>
        <w:rPr>
          <w:rFonts w:ascii="宋体" w:hAnsi="宋体" w:eastAsia="宋体" w:cs="宋体"/>
          <w:sz w:val="24"/>
          <w:szCs w:val="24"/>
        </w:rPr>
        <w:t>的多年生木本植物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被誉为“水果之王”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C之冠”。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猕猴桃是和平县农业支柱产业，种植面积已达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3766hm</w:t>
      </w:r>
      <w:r>
        <w:rPr>
          <w:rFonts w:hint="eastAsia" w:asciiTheme="minorEastAsia" w:hAnsiTheme="minorEastAsia" w:cstheme="minorEastAsia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。经过全县上下长期的不懈努力，猕猴桃产业规模化、标准化、品牌化、效益化、产业化方向发展，已成为农民持续增收的主要来源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为了猕猴桃生产真正成为支柱型产业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逐步向产业化经营和可持续性高质量发展，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2012年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版本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《猕猴桃种植技术规程》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部分内容不符合猕猴桃生产，为确保标准具有良好操作性和先进性，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重新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猕猴桃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种植技术规程》很有必要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从而进一步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规范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猕猴桃的建园、栽植、品种、立架、修剪、土肥水、授粉、花果、病虫害防治、果实采收、包装、运输、贮藏等生产技术的管理提供科学依据，已成为提高猕猴桃经济效益和社会效益必不可少的重要环节。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根据GB/T 1.1-2020 《标准化工作导则 第1部分：标准化文件的结构和起草规则》的规定编写。规范性引用文件：下列文件对本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的应用时必不可少的。凡是注日期的引用文件，仅注日期的版本适用于本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。凡是不注日期的引用文件，其最新版本（包括所有的修改单）适用于本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GB 4285 农药安全使用标准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GB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8321 （所有部分）农药合理使用准则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GB18407.2  农产品安全质量  无公害水果产地环境要求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NY/T496  肥料合理适用准则  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  <w:t>NY/T 1392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NY/T 1392 猕猴桃采收与贮运技术规范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DB441600/T0004—2012  猕猴桃种植技术规程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请注意本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的某些内容可能涉及专利。本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的发布机构不承担识别专利的责任。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由河源市市场监督管理局提出并归口。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起草单位：和平县水果研究所、广东东森堂农业科技开发有限公司、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和平县科技创新服务中心、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和平县农业技术推广中心。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主要起草人：黄春源、刘忠平、梁全锐、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曾建鑫、张宪智、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吴玉妹、肖倩倩、朱剑华、刘飞鹏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刘东海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黄春媚、梁</w:t>
      </w:r>
      <w:bookmarkStart w:id="5" w:name="_GoBack"/>
      <w:bookmarkEnd w:id="5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明浩。</w:t>
      </w:r>
    </w:p>
    <w:sdt>
      <w:sdtPr>
        <w:rPr>
          <w:rFonts w:eastAsia="黑体"/>
          <w:b w:val="0"/>
          <w:sz w:val="24"/>
          <w:szCs w:val="24"/>
          <w:lang w:val="en-US" w:eastAsia="zh-CN"/>
        </w:rPr>
        <w:id w:val="14745605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sdtEndPr>
      <w:sdtContent>
        <w:p>
          <w:pPr>
            <w:spacing w:line="360" w:lineRule="auto"/>
            <w:rPr>
              <w:rFonts w:hint="eastAsia"/>
              <w:sz w:val="24"/>
              <w:szCs w:val="24"/>
            </w:rPr>
            <w:sectPr>
              <w:footerReference r:id="rId3" w:type="default"/>
              <w:pgSz w:w="11906" w:h="16838"/>
              <w:pgMar w:top="1440" w:right="1800" w:bottom="1440" w:left="1800" w:header="851" w:footer="992" w:gutter="0"/>
              <w:pgBorders>
                <w:top w:val="none" w:sz="0" w:space="0"/>
                <w:left w:val="none" w:sz="0" w:space="0"/>
                <w:bottom w:val="none" w:sz="0" w:space="0"/>
                <w:right w:val="none" w:sz="0" w:space="0"/>
              </w:pgBorders>
              <w:cols w:space="425" w:num="1"/>
              <w:docGrid w:type="lines" w:linePitch="312" w:charSpace="0"/>
            </w:sectPr>
          </w:pPr>
        </w:p>
      </w:sdtContent>
    </w:sdt>
    <w:p>
      <w:pPr>
        <w:pStyle w:val="3"/>
        <w:bidi w:val="0"/>
        <w:snapToGrid/>
        <w:spacing w:before="0" w:beforeLines="0" w:beforeAutospacing="0" w:after="0" w:afterLines="0" w:afterAutospacing="0" w:line="360" w:lineRule="auto"/>
        <w:ind w:left="0" w:leftChars="0" w:right="0" w:rightChars="0" w:firstLine="0" w:firstLineChars="0"/>
        <w:jc w:val="center"/>
        <w:outlineLvl w:val="0"/>
        <w:rPr>
          <w:rFonts w:hint="eastAsia" w:ascii="Times New Roman" w:eastAsia="黑体"/>
          <w:b w:val="0"/>
          <w:sz w:val="28"/>
          <w:lang w:val="en-US" w:eastAsia="zh-CN"/>
        </w:rPr>
      </w:pPr>
      <w:bookmarkStart w:id="1" w:name="_Toc869"/>
      <w:r>
        <w:rPr>
          <w:rFonts w:hint="eastAsia" w:ascii="Times New Roman" w:eastAsia="黑体"/>
          <w:b w:val="0"/>
          <w:sz w:val="28"/>
          <w:lang w:val="en-US" w:eastAsia="zh-CN"/>
        </w:rPr>
        <w:t>猕猴桃种植技术规程</w:t>
      </w:r>
      <w:bookmarkEnd w:id="1"/>
    </w:p>
    <w:p>
      <w:pPr>
        <w:pStyle w:val="2"/>
        <w:bidi w:val="0"/>
        <w:snapToGrid/>
        <w:spacing w:before="0" w:beforeLines="0" w:beforeAutospacing="0" w:after="0" w:afterLines="0" w:afterAutospacing="0" w:line="360" w:lineRule="auto"/>
        <w:ind w:right="0" w:rightChars="0"/>
        <w:jc w:val="both"/>
        <w:rPr>
          <w:rFonts w:hint="eastAsia" w:ascii="宋体" w:hAnsi="宋体" w:eastAsia="宋体" w:cs="宋体"/>
          <w:sz w:val="24"/>
          <w:lang w:val="en-US" w:eastAsia="zh-CN"/>
        </w:rPr>
      </w:pPr>
      <w:bookmarkStart w:id="2" w:name="_Toc17731"/>
      <w:r>
        <w:rPr>
          <w:rFonts w:hint="eastAsia" w:ascii="宋体" w:hAnsi="宋体" w:eastAsia="宋体" w:cs="宋体"/>
          <w:sz w:val="24"/>
          <w:lang w:val="en-US" w:eastAsia="zh-CN"/>
        </w:rPr>
        <w:t>1  范围</w:t>
      </w:r>
      <w:bookmarkEnd w:id="2"/>
    </w:p>
    <w:p>
      <w:pPr>
        <w:snapToGrid/>
        <w:spacing w:beforeAutospacing="0" w:afterAutospacing="0" w:line="360" w:lineRule="auto"/>
        <w:ind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本标准规定了猕猴桃的建园、栽植、品种、立架、修剪、土肥水、花果、病虫害防治、果实采收、包装、运输、贮藏等要求。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本标准适用于在亚热带气候、微酸性肥沃壤土或砂质壤土、红土、在山地、丘陵、旱坡地种植的猕猴桃。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2  生产目标</w:t>
      </w:r>
    </w:p>
    <w:p>
      <w:pPr>
        <w:snapToGrid/>
        <w:spacing w:beforeAutospacing="0" w:afterAutospacing="0" w:line="360" w:lineRule="auto"/>
        <w:ind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每667m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（亩）5年以上盛果期果园产果中华猕猴桃1000-1500kg，美味猕猴桃1500-2000kg。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3  产量构成因素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</w:t>
      </w:r>
      <w:r>
        <w:rPr>
          <w:rFonts w:hint="eastAsia" w:ascii="Times New Roman" w:eastAsia="宋体"/>
          <w:sz w:val="24"/>
          <w:lang w:val="en-US" w:eastAsia="zh-CN"/>
        </w:rPr>
        <w:t>.</w:t>
      </w:r>
      <w:r>
        <w:rPr>
          <w:rFonts w:hint="default" w:ascii="Times New Roman" w:eastAsia="宋体"/>
          <w:sz w:val="24"/>
          <w:lang w:val="en-US" w:eastAsia="zh-CN"/>
        </w:rPr>
        <w:t>1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每 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default" w:ascii="Times New Roman" w:eastAsia="宋体"/>
          <w:sz w:val="24"/>
          <w:lang w:val="en-US" w:eastAsia="zh-CN"/>
        </w:rPr>
        <w:t>（亩）成年树</w:t>
      </w:r>
      <w:r>
        <w:rPr>
          <w:rFonts w:hint="eastAsia" w:ascii="Times New Roman" w:eastAsia="宋体"/>
          <w:sz w:val="24"/>
          <w:lang w:val="en-US" w:eastAsia="zh-CN"/>
        </w:rPr>
        <w:t>60</w:t>
      </w:r>
      <w:r>
        <w:rPr>
          <w:rFonts w:hint="default" w:ascii="Times New Roman" w:eastAsia="宋体"/>
          <w:sz w:val="24"/>
          <w:lang w:val="en-US" w:eastAsia="zh-CN"/>
        </w:rPr>
        <w:t>株，其中雌与雄之比为（</w:t>
      </w:r>
      <w:r>
        <w:rPr>
          <w:rFonts w:hint="eastAsia" w:ascii="Times New Roman" w:eastAsia="宋体"/>
          <w:sz w:val="24"/>
          <w:lang w:val="en-US" w:eastAsia="zh-CN"/>
        </w:rPr>
        <w:t>8</w:t>
      </w:r>
      <w:r>
        <w:rPr>
          <w:rFonts w:hint="default" w:ascii="Times New Roman" w:eastAsia="宋体"/>
          <w:sz w:val="24"/>
          <w:lang w:val="en-US" w:eastAsia="zh-CN"/>
        </w:rPr>
        <w:t>-</w:t>
      </w:r>
      <w:r>
        <w:rPr>
          <w:rFonts w:hint="eastAsia" w:ascii="Times New Roman" w:eastAsia="宋体"/>
          <w:sz w:val="24"/>
          <w:lang w:val="en-US" w:eastAsia="zh-CN"/>
        </w:rPr>
        <w:t>10）：</w:t>
      </w:r>
      <w:r>
        <w:rPr>
          <w:rFonts w:hint="default" w:ascii="Times New Roman" w:eastAsia="宋体"/>
          <w:sz w:val="24"/>
          <w:lang w:val="en-US" w:eastAsia="zh-CN"/>
        </w:rPr>
        <w:t>1。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3.2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盛果期中华猕猴桃单株产量</w:t>
      </w:r>
      <w:r>
        <w:rPr>
          <w:rFonts w:hint="eastAsia" w:ascii="Times New Roman" w:eastAsia="宋体"/>
          <w:sz w:val="24"/>
          <w:lang w:val="en-US" w:eastAsia="zh-CN"/>
        </w:rPr>
        <w:t>15-25</w:t>
      </w:r>
      <w:r>
        <w:rPr>
          <w:rFonts w:hint="default" w:ascii="Times New Roman" w:eastAsia="宋体"/>
          <w:sz w:val="24"/>
          <w:lang w:val="en-US" w:eastAsia="zh-CN"/>
        </w:rPr>
        <w:t>kg</w:t>
      </w:r>
      <w:r>
        <w:rPr>
          <w:rFonts w:hint="eastAsia" w:ascii="Times New Roman" w:eastAsia="宋体"/>
          <w:sz w:val="24"/>
          <w:lang w:val="en-US" w:eastAsia="zh-CN"/>
        </w:rPr>
        <w:t>，</w:t>
      </w:r>
      <w:r>
        <w:rPr>
          <w:rFonts w:hint="default" w:ascii="Times New Roman" w:eastAsia="宋体"/>
          <w:sz w:val="24"/>
          <w:lang w:val="en-US" w:eastAsia="zh-CN"/>
        </w:rPr>
        <w:t xml:space="preserve">美味猕猴桃单株平均产量 </w:t>
      </w:r>
      <w:r>
        <w:rPr>
          <w:rFonts w:hint="eastAsia" w:ascii="Times New Roman" w:eastAsia="宋体"/>
          <w:sz w:val="24"/>
          <w:lang w:val="en-US" w:eastAsia="zh-CN"/>
        </w:rPr>
        <w:t>25-35</w:t>
      </w:r>
      <w:r>
        <w:rPr>
          <w:rFonts w:hint="default" w:ascii="Times New Roman" w:eastAsia="宋体"/>
          <w:sz w:val="24"/>
          <w:lang w:val="en-US" w:eastAsia="zh-CN"/>
        </w:rPr>
        <w:t>kg</w:t>
      </w:r>
      <w:r>
        <w:rPr>
          <w:rFonts w:hint="eastAsia" w:ascii="Times New Roman" w:eastAsia="宋体"/>
          <w:sz w:val="24"/>
          <w:lang w:val="en-US" w:eastAsia="zh-CN"/>
        </w:rPr>
        <w:t>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</w:t>
      </w:r>
      <w:r>
        <w:rPr>
          <w:rFonts w:hint="eastAsia" w:ascii="Times New Roman" w:eastAsia="宋体"/>
          <w:sz w:val="24"/>
          <w:lang w:val="en-US" w:eastAsia="zh-CN"/>
        </w:rPr>
        <w:t>.</w:t>
      </w:r>
      <w:r>
        <w:rPr>
          <w:rFonts w:hint="default" w:ascii="Times New Roman" w:eastAsia="宋体"/>
          <w:sz w:val="24"/>
          <w:lang w:val="en-US" w:eastAsia="zh-CN"/>
        </w:rPr>
        <w:t>3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结果母枝每 1</w:t>
      </w:r>
      <w:r>
        <w:rPr>
          <w:rFonts w:hint="eastAsia" w:ascii="Times New Roman" w:eastAsia="宋体"/>
          <w:sz w:val="24"/>
          <w:lang w:val="en-US" w:eastAsia="zh-CN"/>
        </w:rPr>
        <w:t>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default" w:ascii="Times New Roman" w:eastAsia="宋体"/>
          <w:sz w:val="24"/>
          <w:lang w:val="en-US" w:eastAsia="zh-CN"/>
        </w:rPr>
        <w:t>1</w:t>
      </w:r>
      <w:r>
        <w:rPr>
          <w:rFonts w:hint="eastAsia" w:ascii="Times New Roman" w:eastAsia="宋体"/>
          <w:sz w:val="24"/>
          <w:lang w:val="en-US" w:eastAsia="zh-CN"/>
        </w:rPr>
        <w:t>-</w:t>
      </w:r>
      <w:r>
        <w:rPr>
          <w:rFonts w:hint="default" w:ascii="Times New Roman" w:eastAsia="宋体"/>
          <w:sz w:val="24"/>
          <w:lang w:val="en-US" w:eastAsia="zh-CN"/>
        </w:rPr>
        <w:t>2个，每个结果母枝抽生结果枝8</w:t>
      </w:r>
      <w:r>
        <w:rPr>
          <w:rFonts w:hint="eastAsia" w:ascii="Times New Roman" w:eastAsia="宋体"/>
          <w:sz w:val="24"/>
          <w:lang w:val="en-US" w:eastAsia="zh-CN"/>
        </w:rPr>
        <w:t>-</w:t>
      </w:r>
      <w:r>
        <w:rPr>
          <w:rFonts w:hint="default" w:ascii="Times New Roman" w:eastAsia="宋体"/>
          <w:sz w:val="24"/>
          <w:lang w:val="en-US" w:eastAsia="zh-CN"/>
        </w:rPr>
        <w:t>12个，每个结果枝留果3-4个。</w:t>
      </w:r>
    </w:p>
    <w:p>
      <w:pPr>
        <w:snapToGrid/>
        <w:spacing w:beforeAutospacing="0" w:afterAutospacing="0" w:line="360" w:lineRule="auto"/>
        <w:ind w:right="0" w:rightChars="0" w:firstLine="480" w:firstLineChars="20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计算公式：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单株留芽数</w:t>
      </w:r>
      <w:r>
        <w:rPr>
          <w:rFonts w:hint="eastAsia" w:ascii="Times New Roman" w:eastAsia="宋体"/>
          <w:sz w:val="24"/>
          <w:lang w:val="en-US" w:eastAsia="zh-CN"/>
        </w:rPr>
        <w:t xml:space="preserve">＝ </w:t>
      </w:r>
      <w:r>
        <w:rPr>
          <w:rFonts w:hint="eastAsia" w:ascii="Times New Roman" w:eastAsia="宋体"/>
          <w:sz w:val="24"/>
          <w:u w:val="single"/>
          <w:lang w:val="en-US" w:eastAsia="zh-CN"/>
        </w:rPr>
        <w:t xml:space="preserve">                    单株预定产量                 </w:t>
      </w:r>
      <w:r>
        <w:rPr>
          <w:rFonts w:hint="eastAsia" w:ascii="Times New Roman" w:eastAsia="宋体"/>
          <w:sz w:val="24"/>
          <w:lang w:val="en-US" w:eastAsia="zh-CN"/>
        </w:rPr>
        <w:t xml:space="preserve">                        </w:t>
      </w:r>
    </w:p>
    <w:p>
      <w:pPr>
        <w:snapToGrid/>
        <w:spacing w:beforeAutospacing="0" w:afterAutospacing="0" w:line="360" w:lineRule="auto"/>
        <w:ind w:left="0" w:leftChars="0" w:right="0" w:rightChars="0" w:firstLine="2160" w:firstLineChars="9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成枝（萌芽率）%×果枝%×果数/株×平均单果重（g）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（亩）产量＝单株平均产量kg×株数/667m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（亩）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3.4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稳产标准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3.4.1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结果枝与营养枝之比（6-8)</w:t>
      </w:r>
      <w:r>
        <w:rPr>
          <w:rFonts w:hint="eastAsia" w:ascii="Times New Roman" w:eastAsia="宋体"/>
          <w:sz w:val="24"/>
          <w:lang w:val="en-US" w:eastAsia="zh-CN"/>
        </w:rPr>
        <w:t>：</w:t>
      </w:r>
      <w:r>
        <w:rPr>
          <w:rFonts w:hint="default" w:ascii="Times New Roman" w:eastAsia="宋体"/>
          <w:sz w:val="24"/>
          <w:lang w:val="en-US" w:eastAsia="zh-CN"/>
        </w:rPr>
        <w:t>1，稳定交替更新。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3.4.2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果实发育有足够营养面积。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3.4.3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雌雄比（</w:t>
      </w:r>
      <w:r>
        <w:rPr>
          <w:rFonts w:hint="eastAsia" w:ascii="Times New Roman" w:eastAsia="宋体"/>
          <w:sz w:val="24"/>
          <w:lang w:val="en-US" w:eastAsia="zh-CN"/>
        </w:rPr>
        <w:t>8</w:t>
      </w:r>
      <w:r>
        <w:rPr>
          <w:rFonts w:hint="default" w:ascii="Times New Roman" w:eastAsia="宋体"/>
          <w:sz w:val="24"/>
          <w:lang w:val="en-US" w:eastAsia="zh-CN"/>
        </w:rPr>
        <w:t>-</w:t>
      </w:r>
      <w:r>
        <w:rPr>
          <w:rFonts w:hint="eastAsia" w:ascii="Times New Roman" w:eastAsia="宋体"/>
          <w:sz w:val="24"/>
          <w:lang w:val="en-US" w:eastAsia="zh-CN"/>
        </w:rPr>
        <w:t>10</w:t>
      </w:r>
      <w:r>
        <w:rPr>
          <w:rFonts w:hint="default" w:ascii="Times New Roman" w:eastAsia="宋体"/>
          <w:sz w:val="24"/>
          <w:lang w:val="en-US" w:eastAsia="zh-CN"/>
        </w:rPr>
        <w:t>)：1。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3.4.4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长果枝保持 50cm以上</w:t>
      </w:r>
      <w:r>
        <w:rPr>
          <w:rFonts w:hint="eastAsia" w:ascii="Times New Roman" w:eastAsia="宋体"/>
          <w:sz w:val="24"/>
          <w:lang w:val="en-US" w:eastAsia="zh-CN"/>
        </w:rPr>
        <w:t>，</w:t>
      </w:r>
      <w:r>
        <w:rPr>
          <w:rFonts w:hint="default" w:ascii="Times New Roman" w:eastAsia="宋体"/>
          <w:sz w:val="24"/>
          <w:lang w:val="en-US" w:eastAsia="zh-CN"/>
        </w:rPr>
        <w:t>占 3</w:t>
      </w:r>
      <w:r>
        <w:rPr>
          <w:rFonts w:hint="eastAsia" w:ascii="Times New Roman" w:eastAsia="宋体"/>
          <w:sz w:val="24"/>
          <w:lang w:val="en-US" w:eastAsia="zh-CN"/>
        </w:rPr>
        <w:t>5</w:t>
      </w:r>
      <w:r>
        <w:rPr>
          <w:rFonts w:hint="default" w:ascii="Times New Roman" w:eastAsia="宋体"/>
          <w:sz w:val="24"/>
          <w:lang w:val="en-US" w:eastAsia="zh-CN"/>
        </w:rPr>
        <w:t>%；中果枝30-50cm，占4</w:t>
      </w:r>
      <w:r>
        <w:rPr>
          <w:rFonts w:hint="eastAsia" w:ascii="Times New Roman" w:eastAsia="宋体"/>
          <w:sz w:val="24"/>
          <w:lang w:val="en-US" w:eastAsia="zh-CN"/>
        </w:rPr>
        <w:t>5</w:t>
      </w:r>
      <w:r>
        <w:rPr>
          <w:rFonts w:hint="default" w:ascii="Times New Roman" w:eastAsia="宋体"/>
          <w:sz w:val="24"/>
          <w:lang w:val="en-US" w:eastAsia="zh-CN"/>
        </w:rPr>
        <w:t>%；短果枝20-30cm，占 20%。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 xml:space="preserve">3.4.5 </w:t>
      </w:r>
      <w:r>
        <w:rPr>
          <w:rFonts w:hint="eastAsia" w:ascii="Times New Roman" w:eastAsia="宋体"/>
          <w:sz w:val="24"/>
          <w:lang w:val="en-US" w:eastAsia="zh-CN"/>
        </w:rPr>
        <w:t xml:space="preserve"> </w:t>
      </w:r>
      <w:r>
        <w:rPr>
          <w:rFonts w:hint="default" w:ascii="Times New Roman" w:eastAsia="宋体"/>
          <w:sz w:val="24"/>
          <w:lang w:val="en-US" w:eastAsia="zh-CN"/>
        </w:rPr>
        <w:t>营养枝年生长量150cm 以上，</w:t>
      </w:r>
      <w:r>
        <w:rPr>
          <w:rFonts w:hint="eastAsia" w:ascii="Times New Roman" w:eastAsia="宋体"/>
          <w:sz w:val="24"/>
          <w:lang w:val="en-US" w:eastAsia="zh-CN"/>
        </w:rPr>
        <w:t>7</w:t>
      </w:r>
      <w:r>
        <w:rPr>
          <w:rFonts w:hint="default" w:ascii="Times New Roman" w:eastAsia="宋体"/>
          <w:sz w:val="24"/>
          <w:lang w:val="en-US" w:eastAsia="zh-CN"/>
        </w:rPr>
        <w:t>月上旬生长达到充实健壮。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default" w:ascii="Times New Roman" w:eastAsia="宋体"/>
          <w:sz w:val="24"/>
          <w:lang w:val="en-US" w:eastAsia="zh-CN"/>
        </w:rPr>
        <w:t>3.4.6</w:t>
      </w:r>
      <w:r>
        <w:rPr>
          <w:rFonts w:hint="eastAsia" w:ascii="Times New Roman" w:eastAsia="宋体"/>
          <w:sz w:val="24"/>
          <w:lang w:val="en-US" w:eastAsia="zh-CN"/>
        </w:rPr>
        <w:t xml:space="preserve">  </w:t>
      </w:r>
      <w:r>
        <w:rPr>
          <w:rFonts w:hint="default" w:ascii="Times New Roman" w:eastAsia="宋体"/>
          <w:sz w:val="24"/>
          <w:lang w:val="en-US" w:eastAsia="zh-CN"/>
        </w:rPr>
        <w:t>叶幕层厚80-100cm，内膛透光率30%。树冠下光斑点占全树</w:t>
      </w:r>
      <w:r>
        <w:rPr>
          <w:rFonts w:hint="eastAsia" w:ascii="Times New Roman" w:eastAsia="宋体"/>
          <w:sz w:val="24"/>
          <w:lang w:val="en-US" w:eastAsia="zh-CN"/>
        </w:rPr>
        <w:t>投影面积15-20%，若达不到，应疏剪。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4  建园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4.1  园地选择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4.1.1  气候条件：1月份极端气温低于-5℃，年平均气温19.5℃以下；年平均降水1200-2000mm；年平均日照1500-2000h。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4.1.2  地形条件：选择坡度在30℃以下的山地、丘陵、缓坡地、冬季有冰冻的山区、南坡、东南坡建园。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4.1.3  土壤条件：按GB 18407.2的要求，选择土层深厚、不易积水且地下水位低于地面1.0m，排水良好，PH值5.5-6.5的壤土、沙壤土。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4.1.4  灌溉条件：水质应符合GB 18407.2的要求。距离水源较近，可引水或打井抽水灌溉。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4.2  场部选址：选择交通方便、水电便利、地形开阔的地点建立场部。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4.3  园地规划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4.3.1  分区：面积大的果园结合地形、交通、水利等分为若干个生产区和生产小区，1个生产区包含5-7个生产小区，每个生产小区面积0.4-0.6hm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为宜。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4.3.2  道路：分生产区间道路和小区便道，生产区间道路4.0-6.0m，小区便道1.0-2.0m。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4.3.3  水利设施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4.3.3.1  建蓄水池、药池：按果园面积1.0-1.4hm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建40m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3</w:t>
      </w:r>
      <w:r>
        <w:rPr>
          <w:rFonts w:hint="eastAsia" w:ascii="Times New Roman" w:eastAsia="宋体"/>
          <w:sz w:val="24"/>
          <w:lang w:val="en-US" w:eastAsia="zh-CN"/>
        </w:rPr>
        <w:t>蓄水池1个，1.5m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3</w:t>
      </w:r>
      <w:r>
        <w:rPr>
          <w:rFonts w:hint="eastAsia" w:ascii="Times New Roman" w:eastAsia="宋体"/>
          <w:sz w:val="24"/>
          <w:lang w:val="en-US" w:eastAsia="zh-CN"/>
        </w:rPr>
        <w:t>药池1个。可按上述比例在一个池里分隔出水池与药池2个部分，并在药池刻上容量标志。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4.3.3.2  埋设灌溉管道：以蓄水池为中心，按生产小区均匀分布灌溉管道。有条件的可以安装滴灌或喷灌设施。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4.3.3.3  排水及防洪：在坡地果园上方挖一条等高排洪沟(兼蓄水用)，沟深宽各1.0m，在排洪沟的两端和中部设数条纵向排水沟，并采用逐级跌落的形式，每级梯田应用砖、水泥砌跌水设施。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4.4  果园水土保持：在低山，丘陵坡地及谷地，将坡地开垦成梯带，梯带规格为宽2.0m，内斜式；边埂用草坯垒实，60°倾角，保证人站立不滑陷，阶面水平，外沿高于内侧20cm，背沟采用“竹节”沟形式。梯面横面须有0.2-0.3%比降。利用植被对坡地果园土壤进行覆盖，让梯壁自然生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4.5  防风林设置：山地建园，山顶应绿化戴帽，结合围园建防护林，应选择与猕猴桃无相似病虫的树种。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5  立架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5.1  “T”型架：钢筋混凝土结构，主柱全长2.5m，架顶臂长1.8m，柱粗10×10cm，臂粗10×10cm。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5.2  “T”型架埋入地下50-70cm，与植株行向同一直线埋设，间距8.0-9.0m，每667m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（亩）用30条左右，每行支架上牵4条10号铁丝，两端用地锚固定，地锚与支架成45°角。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5.3  “T”型架的设置要顺应地势和梯带走向，转弯处需设地锚拉线。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6  定植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6.1  植沟或植穴准备：山坡地因地下水位较低，可采取开撩壕或挖穴的形式。挖穴0.8-1.0m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3</w:t>
      </w:r>
      <w:r>
        <w:rPr>
          <w:rFonts w:hint="eastAsia" w:ascii="Times New Roman" w:eastAsia="宋体"/>
          <w:sz w:val="24"/>
          <w:lang w:val="en-US" w:eastAsia="zh-CN"/>
        </w:rPr>
        <w:t>。开沟时应将沟的两头打通与排水沟相接，利于排除地下积水，沟开好后经一段时间风化，然后分层填料，填料时应下粗上细。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6.2  填充料以有机质肥料为主。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6.3  定植一般在1月上旬至2月下旬，即猕猴桃落叶后至萌芽前进行。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6.4  定植时应将嫁接口露出土面，防止病菌感染。根系不能直接与肥料接触，树盘高度要比植穴畦高出30cm，植后浇足定根水，树盘盖草保温。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6.5  密度“T”型架株行距4.0×3.0m、“大棚架”株行距3.0×3.0m。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6.6  品种选择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6.6.1  雌株：海拔在400m以上的山地选用“仲和红阳”、“武植3号”、“徐香”“翠玉”等品种。海拔400m以下的山地选用“仲和红阳”、“武植3号”、“仲和黄玉”等品种。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6.6.2  雄株：要与雌株花期相遇，一般的果园安排两个雄株品种，一个品种比雌株早2-3d 开花，一个品种比雌株迟2-3d开花。实现花期包两头，保证雌株整个花期有足够的花粉量供其授粉。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7  土肥水管理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7</w:t>
      </w:r>
      <w:r>
        <w:rPr>
          <w:rFonts w:hint="eastAsia" w:ascii="Times New Roman" w:eastAsia="宋体"/>
          <w:sz w:val="24"/>
          <w:lang w:val="en-US" w:eastAsia="zh-CN"/>
        </w:rPr>
        <w:t>.1  土壤管理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7.1.1  扩穴改土：定植当年，结合施冬肥对植穴或植沟以外的深层土壤进行改良。在原沟、穴的两边各挖一个长1.0m，宽、深各0.5m的改土穴，每年轮换位置。每穴分二层填埋绿肥20-30kg，最后放有机肥10-15kg，复合肥2-3kg，然后将穴填至高出地面20cm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7.1.2  行间管理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7.1.2.1  生草法管理：株间空地种植豆科作物等绿肥，绿肥开花结实时开沟埋入土中；自然生草法则在草高40cm以上时，人工或机器割草1次，草头留3-5cm高。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7.1.2.2 树盘覆盖：在树盘上用绿肥、杂草或稻草覆盖，覆盖厚度在10cm以上。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  施肥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7.2.1  幼年树施肥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7.2.1.1  时期：3月中旬至8月下旬，追肥4-6次，每隔25d施肥一次。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7.2.1.2  方法：将肥料溶于水后施入或开沟施入，也可与稀释的沼气液配合施入。7.2.1.3  用量：每次每株施尿素或复合肥50g，或有机肥0.5kg，距植株50cm处沟施。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  成年树施肥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7.2.2.1  全年施肥量：全年每株施有机肥50kg，麸肥5-6kg，尿素0.5-1.0kg，钾肥2.5kg，磷肥1.5kg。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7.2.2.2  施肥时期及用量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7.2.2.2.1  基肥：1月底前施入，扩穴施入全部有机肥、麸肥，尿素占全年量50%，钾肥50%，磷肥50%。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7.2.2.2.2  萌芽肥：2月下旬施入，尿素占全年量的50%。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7.2.2.2.3  壮果肥：5月下旬施入，钾肥占全年量40%，磷肥占全年量40%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7.2.2.2.4  采后肥：8月下旬至10月下旬施入，钾肥占全年量10%，磷肥占全年量10%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7.2.2.3  方法：在两株中间挖沟施入，施后覆土。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7.2.2.4  根外追肥：从展叶到采果前均可进行，也可结合病虫防治进行，叶面喷施钾、钙、硼、磷、锌、铁等微肥。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7.3  水分管理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7.3.1  灌溉：应符合GB18407.2的规定，在3月份的萌芽期，5、6月份果实膨大期，9、10月份花芽形成期 ，如遇干旱应及时灌水。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7.3.2  排水：雨天及时排水，避免果园积水。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8  整形修剪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8.1  整形：定干时在距离地面50cm处选留一个壮芽，定干后，留一条主枝。主枝长到1.2-1.5m时摘心，留2-3条侧枝，侧枝长到50cm时摘心，每条侧枝培养2-3条第二次侧枝，第二年以后进行复剪。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8.2  抹芽：抹除分枝以下主干上萌发的潜伏芽和嫁接口以下的实生芽，以保证架面枝蔓迅速形成。对结果树，显蕾后，健壮的结果母枝选留5-6条结果枝，弱枝少留结果枝，多余的枝条要及时抹除，以免消耗养分。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8.3  疏枝：疏枝应在新梢长到20cm以上时进行，疏除过多、过密的营养枝、细弱的结果枝及病虫枝，做到合理分布，既要充分利用架面空间，又要保证棚内通透性。结果枝的距离一般10-15cm。每m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架面留10-15个新梢。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8.4  打顶：当新梢长到50cm时要及时打顶，打顶后长出的副梢留5-8片叶摘心，促进枝条充实，形成新的结果母枝。结果枝在花序后留6-7片叶摘心，弱枝一般不摘心。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8.5  修剪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8.5.1  雌株的修剪在落叶后至翌年2月上旬伤流之前进行冬剪。幼树采用轻度短截，适当留结果枝。成年树势强宜轻剪，势弱宜重剪，剪除病、虫、枯枝及过多过密的技条，每m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架面留8-12条结果母枝，每条结果母枝留5-12个壮芽。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8.5.2  雄株在4-5月授粉后进行夏剪，先剪去花序枝，再从主蔓和紧靠主干的侧蔓上选留方位好且生长健壮的新梢，经摘心、抹芽和绑蔓等措施，培养为翌年的雄花序枝，剪去多余的枝条。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8.6  枝蔓更新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8.6.1  对于果园中老化和衰弱的植株应进行多年生枝条更新，从近主干的侧蔓或直接从主干向基端重剪短截，促使其潜伏芽萌发并从中选留强壮枝条取代衰老枝条。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8.6.2  当主干上长有徒长枝时，可直接选留旺盛枝条代替衰老枝条。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8.6.3  对于结果母枝的更新，当下面有生长充实的结果枝和营养枝时，可将结果母枝回缩修剪，避免其外移。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8.6.4  如结果母枝过弱，可在冬剪时将其从基部潜伏芽稍上剪除，促使潜伏芽萌发，再选留健壮新梢作为翌年结果母枝。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9  人工辅助授粉</w:t>
      </w:r>
    </w:p>
    <w:p>
      <w:pPr>
        <w:snapToGrid/>
        <w:spacing w:beforeAutospacing="0" w:afterAutospacing="0" w:line="360" w:lineRule="auto"/>
        <w:ind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猕猴桃属雌雄异株果树，雌花必须经过授粉受精才能正常发育成果实。如果授粉不良，果实发育出现畸形或果小，在生产上要合理配置雄株，开花期要人工辅助授粉。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9.1  授粉的商品花粉或自采自用的花粉质量。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9.1.1  纯花粉纯度 98%以上，发芽率70%以上。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9.1.2  混合花粉含纯花粉30%以上，辅料70%以下。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9.2  猕猴桃花粉短时（15d以内)，保存条件低温（0-4℃），干燥、防潮湿、防强光照射、防异杂物混入。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9.3  每 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（亩）盛果园，需用纯粉15-20g，或混合粉50-80g。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9.4  授粉时间：当雌株开花达20-30%时，开始人工授粉，每天8-12h前进行，连授3-4d（次），下雨不授粉，下午温度高，干燥不授粉。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9.5  授粉方法：将配好的混合粉，用电动授粉器或毛笔或改良针管轻轻的将花粉送到雌花的柱头上，严防损伤花器。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9.6  猕猴桃花期，果园放养蜜蜂，每667m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（亩）0.2-0.3群。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9.7  开花前3-5 d，果园土壤相对含水量低于80%，应浇水，有利授粉受精和前期幼果膨大。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10  果实管理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10.1  疏果：授粉结实后，要及时疏除畸形果，病虫果和多余的果，一般每条结果枝选留5-8个果为宜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10.2  套袋：在最后一次疏果后，喷杀虫杀菌药一次，然后套袋，将纸袋套至果柄处封口。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11  病虫害防治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11.1  防治原则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坚持“预防为主，综合防治”的原则，以农业防治为基础，根据病虫害发生、发展的规律，因时、因地制宜，合理利用物理防治、生物防治、化学防治等措施，经济、安全、有效地控制病虫害。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11.2  防治方法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11.2.1  合理修剪，及时剪除病虫枝，刮除树干裂皮，清除受病虫危害的枯枝、落叶、落果及园内杂草并集中烧毁或深埋，减少病虫源，抑制病虫害的发生。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11.2.2  物理防治、生物防治和化学防治方法及用药原则按照NY/T 5108的规定执行。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11.2.3  农药选用应符合GB 4285农药安全使用标准和GB 83211农药合理使用准则的要求，在整个生长期均禁止使用果实膨大剂和激素类农药。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  病害防治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病害系指以细菌性和真菌性为主的病害，侵染媒介主要为风雨和昆虫等。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 1  炭疽病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11.3.1.1  农业防治：加强果园土水肥的管理，重施有机肥，合理负载，科学整形修剪，创造良好的通风透光条件，维持健壮的树势，减轻病害的发生。结合秋季施肥和冬季修剪，清扫落叶落果疏除病虫害危害的枝条，消灭越冬的病原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11.3.1.2  化学防治：萌芽前，全园喷一次5波美度的石硫合剂消灭树体表面的病菌。谢花后和套袋前施药一次。药剂可用25%扑菌唑(咪鲜胺乳油)800-1500倍液、25%吡唑醚菌酯乳油2000倍液、25%嘧菌酯悬浮剂1000-1500倍液、70%甲基硫菌灵800-1000倍液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11.3.2  溃疡病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11.3.2.1  严格苗木检疫。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11.3.2.2  农业防治：加强栽培管理，搞好田间卫生、清除病枝叶、落叶。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11.3.2.3  化学防治：采果后用噻霉酮、噻唑锌或春雷霉素等进行全树枝蔓、叶片喷药一次，防止病原菌从果柄、伤口等部位侵入，结合喷药可加入少量磷酸二氢钾及必要的杀虫剂。 落叶后用40%春雷·噻唑锌（溃腐灵）溶液对树干枝蔓均匀喷布一次，防止溃疡菌从叶柄痕等侵向枝蔓。冬剪后可用噻霉酮涂抹大的伤口，用3-5波美度石硫合剂或噻霉铜全园喷布一次。萌芽期用55%二氯异氰尿酸钠喷施全园，重点喷布芽眼和枝干，开花前再用1.5%噻霉酮600-800倍液喷布一次，此时可结合喷药加入少量尿素和硼肥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11.3.3  花腐病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11.3.3.1  农业防治：搞好田间卫生，增加通透性。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11.3.3.2  化学防治：可用波尔多液或石硫合剂。落叶后喷一次波尔多液，春季萌芽后喷一次石硫合剂。萌芽至花期可喷布1000×10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-6</w:t>
      </w:r>
      <w:r>
        <w:rPr>
          <w:rFonts w:hint="eastAsia" w:ascii="Times New Roman" w:eastAsia="宋体"/>
          <w:sz w:val="24"/>
          <w:lang w:val="en-US" w:eastAsia="zh-CN"/>
        </w:rPr>
        <w:t>农用链霉素。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11.3.4  根腐病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11.3.4.1  农业防治：选择无病地育苗，培养无病苗木。建园时清除园内一切植物残体，减少污染源。发现病株连根挖除销毁，并用溴甲烷熏蒸消毒。消灭地下害虫，减少根部伤口，降低病菌感染率。开沟排水，降低地下水位可以减少病菌感染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11.3.4.2  化学防治：苗木浸根，定植前用70%甲基硫菌灵1000倍液浸根及根颈部3h。发现病树，用50%敌克松可湿性粉剂500倍液或70%甲基硫菌灵1000-1500倍，以每株0.5kg灌根，或50%敌克松可湿性粉剂600-800倍液灌根。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11.3.5  黑斑病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11.3.5.1  农业防治：冬季清园，结合修剪，彻底清除枯枝落叶，剪除病枝，消灭引起侵染性病害的病原。施足基肥，增强树势，提高抗病力。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11.3.5.2  化学防治：春季萌芽前喷施3-5波美度的石硫合剂。幼果期套袋前，施用70%甲基硫菌灵1000倍液、25%嘧菌酯悬浮剂2000倍液或10%苯醚甲环唑水分散颗粒剂1500-2000倍液等。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11.3.6  褐斑病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11.3.6.1  农业防治：及时清除病枝、病叶，集中烧毁或深埋，减少病菌来源。加强栽培管理，注意整形修剪，放风排湿，使猴桃园通风透光；施足基肥，避免偏施氮肥，增施磷、钾肥，适量施用硼肥。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11.3.6.2  化学防治：发病初期，喷施70%甲基硫菌灵1000倍液、80%大生M-45可湿性粉剂1000倍液。每隔7-10d喷施1次，连续喷施3次。常用的内吸性杀菌剂还有25%嘧菌酯悬浮剂2000倍液、10%苯醚甲环唑水分散颗粒剂1500-2000倍液、75%百菌清可湿性粉剂+50%速克灵(腐霉利)可湿性粉剂(1:1)1000倍液等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11.3.7  灰霉病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11.3.7.1  农业防治：及时清除病残体，如枯枝、落叶、病叶、病花等，减少侵染源；整理藤蔓，降低园内湿度；加强肥水管理，提高植株抗病性。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11.3.7.2  化学防治：施药时期在盛花末期，用75%百菌清可湿性粉剂600倍液、50%扑海因(异菌脲)可湿性粉剂800倍液或80%大生M-45可湿性粉剂800倍液，每隔7-10d喷施1次，注意轮换用药，贮藏期可以采用硫酸氢钠缓慢释放二氧化硫气体，达到防病保鲜的目的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11.3.8  根结线虫病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11.3.8.1  实行严格检疫。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11.3.8.2  农业防治：加强田间管理，及时排灌。对病苗用44-46℃的温水浸根5min。11.3.8.3  化学防治：1-2年幼龄树可在植株根际每株施辛硫磷50g。结果树则每667m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(亩)施辛硫磷颗粒3-5kg，然后浇水再盖土，重病园每3个月施一次。严禁在线虫病区育苗，控制蔓延。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  虫害防治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11.4.1  卷叶蛾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11.4.1.1  农业防治：剪除虫枝，消灭危害和越冬基数。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11.4.1.2  物理防治：挂糖醋液诱杀成虫，配液按红糖和酒1份、3份、水16份，加少量溴氰菊酯，每罐糖醋液可控制每667m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(亩）左右。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11.4.1.3  生物防治：于卵发生期喷25%灭幼脲3号胶悬剂10001500倍液；挂性诱剂诱捕器；释放赤眼蜂，果园初见卵时开始放蜂，每隔5d放1次，每667m</w:t>
      </w:r>
      <w:r>
        <w:rPr>
          <w:rFonts w:hint="eastAsia" w:ascii="Times New Roman" w:eastAsia="宋体"/>
          <w:sz w:val="24"/>
          <w:vertAlign w:val="superscript"/>
          <w:lang w:val="en-US" w:eastAsia="zh-CN"/>
        </w:rPr>
        <w:t>2</w:t>
      </w:r>
      <w:r>
        <w:rPr>
          <w:rFonts w:hint="eastAsia" w:ascii="Times New Roman" w:eastAsia="宋体"/>
          <w:sz w:val="24"/>
          <w:lang w:val="en-US" w:eastAsia="zh-CN"/>
        </w:rPr>
        <w:t>(亩）放蜂1000-2000头为宜，隔株或隔行放，共4-5次。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default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11.4.1.4  化学防治：根据预测预报情况，在越冬幼虫出蛰盛期和第一代卵孵化盛期喷药防治，在越冬幼虫出蛰盛期，喷洒50%杀螟松乳剂(速灭虫)1000倍液；在第1代卵孵化盛期和幼虫期喷布20%灭扫利(甲氰菊酯)乳油2000-3000倍液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11.4.2  蚧壳虫类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11.4.2.1  农业防治：合理修剪，防止枝叶过密，秋季修时清理枯枝败叶并刮除老翘皮，刷除越冬卵块，集中烧毁。在发芽前喷施5波美度的石硫合剂效果更好。11.4.2.2  化学防治：虫体无蜡粉和介壳时，抗药力最弱，应在此时使用药剂防治。在5月中下旬喷3%莫比朗乳油1500倍液或25%蚧死净乳油1000-1200倍液。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11.4.3  透翅蛾类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11.4.3.1  农业防治：加强管理、清除杂草。发现嫩梢被害要及时剪除，蛀入木质部，用铁丝刺杀。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11.4.3.2  化学防治：蛀入木质部，</w:t>
      </w:r>
      <w:bookmarkStart w:id="3" w:name="_Toc5347"/>
      <w:r>
        <w:rPr>
          <w:rFonts w:hint="eastAsia" w:ascii="Times New Roman" w:eastAsia="宋体"/>
          <w:sz w:val="24"/>
          <w:lang w:val="en-US" w:eastAsia="zh-CN"/>
        </w:rPr>
        <w:t>注入或用浸80%敌敌畏10倍液的棉球，并用泥封严虫孔口。</w:t>
      </w:r>
      <w:bookmarkEnd w:id="3"/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11.4.4  蝉类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11.4.4.1  农业防治：刮除卵块烧毁。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11.4.4.2  化学防治：4月中旬至5月上旬在虫卵孵化后，用90%敌百虫1000倍液喷布，或10%吡虫啉可湿性粉剂800-1000倍液喷布。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11.4.5  金龟子类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bookmarkStart w:id="4" w:name="_Toc21518"/>
      <w:r>
        <w:rPr>
          <w:rFonts w:hint="eastAsia" w:ascii="Times New Roman" w:eastAsia="宋体"/>
          <w:sz w:val="24"/>
          <w:lang w:val="en-US" w:eastAsia="zh-CN"/>
        </w:rPr>
        <w:t>11.4.5.1  农业防治：利用趋性诱杀成虫。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11.4.5.2  物理防治：利用成虫的假死性，于清晨或傍晚振树捕杀成虫。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11.4.5.3  化学防治：在成虫出土前，树下施药剂，100倍液处理土壤，配成毒土，均匀撒入地面，深翻20cm。成虫发生期，可喷施辛硫磷乳剂1000倍液或西维因粉剂(氨基甲酸酯类杀虫剂)800-1000倍液，隔10-15d 喷1次，连喷2次。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12  果实采收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12.1  采收时期：中华猕猴桃品种，硬果可溶性固形物达到6.5%时(折光仪法测定)，种子基本转黑，便可采收。美味猕猴桃品种，硬果可溶性固形物达到6.2%时(折光仪法测定)，种子转黑，便可采收。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12.2  采收方法：采摘时将套袋一起不带果柄摘下，采摘时轻摘轻放，用布袋或塑料篮装果，防止机械损伤和挤压。运至场部后，去袋分级、包装。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b/>
          <w:bCs/>
          <w:sz w:val="24"/>
          <w:lang w:val="en-US" w:eastAsia="zh-CN"/>
        </w:rPr>
      </w:pPr>
      <w:r>
        <w:rPr>
          <w:rFonts w:hint="eastAsia" w:ascii="Times New Roman" w:eastAsia="宋体"/>
          <w:b/>
          <w:bCs/>
          <w:sz w:val="24"/>
          <w:lang w:val="en-US" w:eastAsia="zh-CN"/>
        </w:rPr>
        <w:t>13  包装、运输、储藏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13.1  包装：内包装用吸塑托盘，外包装用木箱或瓦楞纸箱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13.2  运输：长途运输用冷冻车，轻装轻卸，防止碰撞和挤压。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13.3  储藏</w:t>
      </w:r>
    </w:p>
    <w:p>
      <w:pPr>
        <w:snapToGrid/>
        <w:spacing w:beforeAutospacing="0" w:afterAutospacing="0" w:line="360" w:lineRule="auto"/>
        <w:ind w:right="0" w:rightChars="0" w:firstLine="480" w:firstLineChars="200"/>
        <w:jc w:val="both"/>
        <w:rPr>
          <w:rFonts w:hint="eastAsia" w:ascii="Times New Roman" w:eastAsia="宋体"/>
          <w:sz w:val="24"/>
          <w:lang w:val="en-US" w:eastAsia="zh-CN"/>
        </w:rPr>
      </w:pPr>
      <w:r>
        <w:rPr>
          <w:rFonts w:hint="eastAsia" w:ascii="Times New Roman" w:eastAsia="宋体"/>
          <w:sz w:val="24"/>
          <w:lang w:val="en-US" w:eastAsia="zh-CN"/>
        </w:rPr>
        <w:t>储藏保鲜条件：—0.5-0.5℃，湿度90%以上。气调储藏：5%二氧化碳+2%氧气，塑料薄膜帐保鲜，帐内温度0.5-1℃。</w:t>
      </w: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</w:p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</w:p>
    <w:bookmarkEnd w:id="4"/>
    <w:p>
      <w:pPr>
        <w:snapToGrid/>
        <w:spacing w:beforeAutospacing="0" w:afterAutospacing="0" w:line="360" w:lineRule="auto"/>
        <w:ind w:right="0" w:rightChars="0"/>
        <w:jc w:val="both"/>
        <w:rPr>
          <w:rFonts w:hint="eastAsia" w:ascii="Times New Roman" w:eastAsia="宋体"/>
          <w:sz w:val="24"/>
          <w:lang w:val="en-US" w:eastAsia="zh-CN"/>
        </w:rPr>
      </w:pPr>
    </w:p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5YTIzNWMxNmIwYWIxMThjYWRkZDQ4ZDYzYWEyNzUifQ=="/>
  </w:docVars>
  <w:rsids>
    <w:rsidRoot w:val="320E2523"/>
    <w:rsid w:val="003D1A43"/>
    <w:rsid w:val="00BE7B7C"/>
    <w:rsid w:val="0339026B"/>
    <w:rsid w:val="03987A57"/>
    <w:rsid w:val="03A30F75"/>
    <w:rsid w:val="04835445"/>
    <w:rsid w:val="05B970C6"/>
    <w:rsid w:val="05FA6648"/>
    <w:rsid w:val="068857F0"/>
    <w:rsid w:val="06A71911"/>
    <w:rsid w:val="07022CDF"/>
    <w:rsid w:val="0709203F"/>
    <w:rsid w:val="073C4C22"/>
    <w:rsid w:val="07B43B47"/>
    <w:rsid w:val="08244677"/>
    <w:rsid w:val="0830541E"/>
    <w:rsid w:val="0B065D0E"/>
    <w:rsid w:val="0B412590"/>
    <w:rsid w:val="0BBF7E33"/>
    <w:rsid w:val="0D14792E"/>
    <w:rsid w:val="0E286727"/>
    <w:rsid w:val="0E8677E5"/>
    <w:rsid w:val="0EBD5A45"/>
    <w:rsid w:val="0EC52D8E"/>
    <w:rsid w:val="0F3477A2"/>
    <w:rsid w:val="0FA10028"/>
    <w:rsid w:val="10E25268"/>
    <w:rsid w:val="11BC02D4"/>
    <w:rsid w:val="12056453"/>
    <w:rsid w:val="12951E8E"/>
    <w:rsid w:val="12CC2DDB"/>
    <w:rsid w:val="134C3FA9"/>
    <w:rsid w:val="13573AC8"/>
    <w:rsid w:val="13A862A7"/>
    <w:rsid w:val="13D377A4"/>
    <w:rsid w:val="13DC2284"/>
    <w:rsid w:val="147F5579"/>
    <w:rsid w:val="14BF5B00"/>
    <w:rsid w:val="14C01F6E"/>
    <w:rsid w:val="14C82A75"/>
    <w:rsid w:val="163F0F8C"/>
    <w:rsid w:val="16B47892"/>
    <w:rsid w:val="170F72A8"/>
    <w:rsid w:val="17932369"/>
    <w:rsid w:val="180E52B9"/>
    <w:rsid w:val="18831547"/>
    <w:rsid w:val="189A7CC7"/>
    <w:rsid w:val="193603E1"/>
    <w:rsid w:val="1A3D0518"/>
    <w:rsid w:val="1A6D5FE4"/>
    <w:rsid w:val="1B856336"/>
    <w:rsid w:val="1BBE41AA"/>
    <w:rsid w:val="1BC701F4"/>
    <w:rsid w:val="1BCA0A3A"/>
    <w:rsid w:val="1C0D280B"/>
    <w:rsid w:val="1CD2185F"/>
    <w:rsid w:val="1D040779"/>
    <w:rsid w:val="1D232F31"/>
    <w:rsid w:val="1D5925C0"/>
    <w:rsid w:val="1D73673F"/>
    <w:rsid w:val="1D960FB0"/>
    <w:rsid w:val="1DF51CBB"/>
    <w:rsid w:val="1EC11596"/>
    <w:rsid w:val="1F0979D8"/>
    <w:rsid w:val="20004667"/>
    <w:rsid w:val="20287542"/>
    <w:rsid w:val="20C51E14"/>
    <w:rsid w:val="21A523A1"/>
    <w:rsid w:val="21C63877"/>
    <w:rsid w:val="229B7428"/>
    <w:rsid w:val="22CA78A2"/>
    <w:rsid w:val="235F246C"/>
    <w:rsid w:val="23620D1A"/>
    <w:rsid w:val="24BD5BE8"/>
    <w:rsid w:val="263E341B"/>
    <w:rsid w:val="26981CD4"/>
    <w:rsid w:val="28D200CD"/>
    <w:rsid w:val="297D78A5"/>
    <w:rsid w:val="29FD00F7"/>
    <w:rsid w:val="2AAC624E"/>
    <w:rsid w:val="2ACD3758"/>
    <w:rsid w:val="2AD26FD5"/>
    <w:rsid w:val="2ADF0394"/>
    <w:rsid w:val="2ADF74DD"/>
    <w:rsid w:val="2BD40020"/>
    <w:rsid w:val="2C824EA4"/>
    <w:rsid w:val="2CEA71AF"/>
    <w:rsid w:val="2CF40CE2"/>
    <w:rsid w:val="2D8F1177"/>
    <w:rsid w:val="2DE614C5"/>
    <w:rsid w:val="2FE92A2C"/>
    <w:rsid w:val="30D744B1"/>
    <w:rsid w:val="31B90C44"/>
    <w:rsid w:val="320E2523"/>
    <w:rsid w:val="33CC288A"/>
    <w:rsid w:val="34C06670"/>
    <w:rsid w:val="35A75BC8"/>
    <w:rsid w:val="36341185"/>
    <w:rsid w:val="365B0F3E"/>
    <w:rsid w:val="37AC3EF7"/>
    <w:rsid w:val="38563836"/>
    <w:rsid w:val="38AC5770"/>
    <w:rsid w:val="38B1322C"/>
    <w:rsid w:val="39EC7B15"/>
    <w:rsid w:val="3AC62706"/>
    <w:rsid w:val="3AD04A74"/>
    <w:rsid w:val="3B647FF9"/>
    <w:rsid w:val="3BD8667B"/>
    <w:rsid w:val="3CB23431"/>
    <w:rsid w:val="3D07322A"/>
    <w:rsid w:val="3D34470D"/>
    <w:rsid w:val="3E0C2040"/>
    <w:rsid w:val="409B6212"/>
    <w:rsid w:val="40B112C1"/>
    <w:rsid w:val="41F83508"/>
    <w:rsid w:val="42DA5DCC"/>
    <w:rsid w:val="44111F3C"/>
    <w:rsid w:val="44A91C57"/>
    <w:rsid w:val="45D2532F"/>
    <w:rsid w:val="47ED0A43"/>
    <w:rsid w:val="48185DAA"/>
    <w:rsid w:val="485E25D5"/>
    <w:rsid w:val="494151C5"/>
    <w:rsid w:val="49A76168"/>
    <w:rsid w:val="4A93419C"/>
    <w:rsid w:val="4B4802AF"/>
    <w:rsid w:val="4C405FBE"/>
    <w:rsid w:val="4C5859DA"/>
    <w:rsid w:val="4CC53EFB"/>
    <w:rsid w:val="4D2A64D9"/>
    <w:rsid w:val="4D500CF3"/>
    <w:rsid w:val="4EBE7F2F"/>
    <w:rsid w:val="4EDD3CAF"/>
    <w:rsid w:val="4F38252C"/>
    <w:rsid w:val="4FDC75C1"/>
    <w:rsid w:val="504C214F"/>
    <w:rsid w:val="50FA2C35"/>
    <w:rsid w:val="52D576F4"/>
    <w:rsid w:val="52DC4EA3"/>
    <w:rsid w:val="5360113A"/>
    <w:rsid w:val="536D1F22"/>
    <w:rsid w:val="54337C88"/>
    <w:rsid w:val="566156C7"/>
    <w:rsid w:val="566B6F2C"/>
    <w:rsid w:val="58526144"/>
    <w:rsid w:val="58781108"/>
    <w:rsid w:val="59037514"/>
    <w:rsid w:val="596151FB"/>
    <w:rsid w:val="5985220D"/>
    <w:rsid w:val="5A343E6C"/>
    <w:rsid w:val="5AF0753B"/>
    <w:rsid w:val="5B650A04"/>
    <w:rsid w:val="5BDE12E9"/>
    <w:rsid w:val="5C5D4718"/>
    <w:rsid w:val="5CCC2E90"/>
    <w:rsid w:val="5EE70405"/>
    <w:rsid w:val="5EE72302"/>
    <w:rsid w:val="5F731427"/>
    <w:rsid w:val="5FB11B4F"/>
    <w:rsid w:val="60017CA6"/>
    <w:rsid w:val="62256CF3"/>
    <w:rsid w:val="628A2024"/>
    <w:rsid w:val="63636B01"/>
    <w:rsid w:val="63B81302"/>
    <w:rsid w:val="64D35D0E"/>
    <w:rsid w:val="657729D1"/>
    <w:rsid w:val="6617798C"/>
    <w:rsid w:val="66201C61"/>
    <w:rsid w:val="66507570"/>
    <w:rsid w:val="66F12BCE"/>
    <w:rsid w:val="67591C55"/>
    <w:rsid w:val="679166AA"/>
    <w:rsid w:val="687A6FD2"/>
    <w:rsid w:val="69A820CA"/>
    <w:rsid w:val="6A333A5E"/>
    <w:rsid w:val="6A92067A"/>
    <w:rsid w:val="6B0F7A7B"/>
    <w:rsid w:val="6B282F15"/>
    <w:rsid w:val="6B6F2CBE"/>
    <w:rsid w:val="6C51085A"/>
    <w:rsid w:val="6C526CE0"/>
    <w:rsid w:val="6D51593E"/>
    <w:rsid w:val="6DD245A6"/>
    <w:rsid w:val="6E2E79AC"/>
    <w:rsid w:val="6F705430"/>
    <w:rsid w:val="6FDD4D80"/>
    <w:rsid w:val="70F27F1C"/>
    <w:rsid w:val="71E057FB"/>
    <w:rsid w:val="72561A52"/>
    <w:rsid w:val="730C5B82"/>
    <w:rsid w:val="732B64ED"/>
    <w:rsid w:val="73300A21"/>
    <w:rsid w:val="73376375"/>
    <w:rsid w:val="73857509"/>
    <w:rsid w:val="74D65767"/>
    <w:rsid w:val="75875E45"/>
    <w:rsid w:val="75AE2DA3"/>
    <w:rsid w:val="78B268F8"/>
    <w:rsid w:val="793B4A99"/>
    <w:rsid w:val="79AE1580"/>
    <w:rsid w:val="79D31BFD"/>
    <w:rsid w:val="7AF87D91"/>
    <w:rsid w:val="7BF4193C"/>
    <w:rsid w:val="7C206EE6"/>
    <w:rsid w:val="7CA2748C"/>
    <w:rsid w:val="7D934E13"/>
    <w:rsid w:val="7EF47D7F"/>
    <w:rsid w:val="7F1866B9"/>
    <w:rsid w:val="7F98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7">
    <w:name w:val="封面标准代替信息"/>
    <w:basedOn w:val="1"/>
    <w:qFormat/>
    <w:uiPriority w:val="0"/>
    <w:pPr>
      <w:framePr w:w="9138" w:h="1244" w:hRule="exact" w:wrap="around" w:vAnchor="page" w:hAnchor="margin" w:y="2908" w:anchorLock="1"/>
      <w:kinsoku w:val="0"/>
      <w:overflowPunct w:val="0"/>
      <w:autoSpaceDE w:val="0"/>
      <w:autoSpaceDN w:val="0"/>
      <w:adjustRightInd w:val="0"/>
      <w:spacing w:before="57" w:line="280" w:lineRule="exact"/>
      <w:jc w:val="right"/>
      <w:textAlignment w:val="center"/>
    </w:pPr>
    <w:rPr>
      <w:rFonts w:ascii="宋体" w:hAnsi="Times New Roman" w:cs="Times New Roman"/>
      <w:kern w:val="0"/>
      <w:szCs w:val="20"/>
    </w:rPr>
  </w:style>
  <w:style w:type="paragraph" w:customStyle="1" w:styleId="18">
    <w:name w:val="实施日期"/>
    <w:basedOn w:val="1"/>
    <w:qFormat/>
    <w:uiPriority w:val="0"/>
    <w:pPr>
      <w:framePr w:w="4000" w:h="473" w:hRule="exact" w:vSpace="180" w:wrap="around" w:vAnchor="margin" w:hAnchor="margin" w:xAlign="right" w:y="13511" w:anchorLock="1"/>
      <w:widowControl/>
      <w:jc w:val="right"/>
    </w:pPr>
    <w:rPr>
      <w:rFonts w:ascii="Times New Roman" w:hAnsi="Times New Roman" w:eastAsia="黑体" w:cs="Times New Roman"/>
      <w:kern w:val="0"/>
      <w:sz w:val="28"/>
      <w:szCs w:val="20"/>
    </w:rPr>
  </w:style>
  <w:style w:type="paragraph" w:customStyle="1" w:styleId="19">
    <w:name w:val="其他发布部门"/>
    <w:basedOn w:val="1"/>
    <w:qFormat/>
    <w:uiPriority w:val="0"/>
    <w:pPr>
      <w:framePr w:w="7433" w:h="585" w:hRule="exact" w:hSpace="180" w:vSpace="180" w:wrap="around" w:vAnchor="margin" w:hAnchor="margin" w:xAlign="center" w:y="14401" w:anchorLock="1"/>
      <w:widowControl/>
      <w:spacing w:line="0" w:lineRule="atLeast"/>
      <w:jc w:val="center"/>
    </w:pPr>
    <w:rPr>
      <w:rFonts w:ascii="黑体" w:hAnsi="Times New Roman" w:eastAsia="黑体" w:cs="Times New Roman"/>
      <w:spacing w:val="20"/>
      <w:w w:val="135"/>
      <w:kern w:val="0"/>
      <w:sz w:val="36"/>
      <w:szCs w:val="20"/>
    </w:rPr>
  </w:style>
  <w:style w:type="character" w:customStyle="1" w:styleId="20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1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2024-03-12T07:22:00Z</dcterms:created>
  <dc:creator>Administrator</dc:creator>
  <cp:lastModifiedBy>A</cp:lastModifiedBy>
  <dcterms:modified xsi:type="dcterms:W3CDTF">2024-04-28T02:04:29Z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DE79E6FB62324513B99EFB553B5B3218</vt:lpwstr>
  </property>
</Properties>
</file>