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Times New Roman" w:eastAsia="方正小标宋简体" w:cs="Times New Roman"/>
          <w:b w:val="0"/>
          <w:bCs w:val="0"/>
          <w:color w:val="auto"/>
          <w:w w:val="95"/>
          <w:sz w:val="44"/>
          <w:szCs w:val="44"/>
        </w:rPr>
      </w:pPr>
      <w:r>
        <w:rPr>
          <w:rFonts w:hint="eastAsia" w:ascii="方正小标宋简体" w:hAnsi="Times New Roman" w:eastAsia="方正小标宋简体" w:cs="Times New Roman"/>
          <w:b w:val="0"/>
          <w:bCs w:val="0"/>
          <w:color w:val="auto"/>
          <w:w w:val="95"/>
          <w:sz w:val="44"/>
          <w:szCs w:val="44"/>
        </w:rPr>
        <w:t>关于</w:t>
      </w:r>
      <w:r>
        <w:rPr>
          <w:rFonts w:hint="eastAsia" w:ascii="方正小标宋简体" w:hAnsi="Times New Roman" w:eastAsia="方正小标宋简体" w:cs="Times New Roman"/>
          <w:b w:val="0"/>
          <w:bCs w:val="0"/>
          <w:color w:val="auto"/>
          <w:w w:val="95"/>
          <w:sz w:val="44"/>
          <w:szCs w:val="44"/>
          <w:lang w:eastAsia="zh-CN"/>
        </w:rPr>
        <w:t>《</w:t>
      </w:r>
      <w:r>
        <w:rPr>
          <w:rFonts w:hint="eastAsia" w:ascii="方正小标宋简体" w:hAnsi="方正小标宋简体" w:eastAsia="方正小标宋简体" w:cs="方正小标宋简体"/>
          <w:w w:val="95"/>
          <w:sz w:val="44"/>
          <w:szCs w:val="44"/>
          <w:u w:val="none"/>
        </w:rPr>
        <w:t>关于</w:t>
      </w:r>
      <w:r>
        <w:rPr>
          <w:rFonts w:hint="eastAsia" w:ascii="方正小标宋简体" w:hAnsi="方正小标宋简体" w:eastAsia="方正小标宋简体" w:cs="方正小标宋简体"/>
          <w:w w:val="95"/>
          <w:sz w:val="44"/>
          <w:szCs w:val="44"/>
          <w:u w:val="none"/>
          <w:lang w:eastAsia="zh-CN"/>
        </w:rPr>
        <w:t>进一步</w:t>
      </w:r>
      <w:r>
        <w:rPr>
          <w:rFonts w:hint="eastAsia" w:ascii="方正小标宋简体" w:hAnsi="方正小标宋简体" w:eastAsia="方正小标宋简体" w:cs="方正小标宋简体"/>
          <w:w w:val="95"/>
          <w:sz w:val="44"/>
          <w:szCs w:val="44"/>
          <w:u w:val="none"/>
          <w:lang w:val="en-US" w:eastAsia="zh-CN"/>
        </w:rPr>
        <w:t>完善</w:t>
      </w:r>
      <w:r>
        <w:rPr>
          <w:rFonts w:hint="eastAsia" w:ascii="方正小标宋简体" w:hAnsi="方正小标宋简体" w:eastAsia="方正小标宋简体" w:cs="方正小标宋简体"/>
          <w:w w:val="95"/>
          <w:sz w:val="44"/>
          <w:szCs w:val="44"/>
          <w:u w:val="none"/>
          <w:lang w:eastAsia="zh-CN"/>
        </w:rPr>
        <w:t>医保药品外配处方支付管理有关工作的通知</w:t>
      </w:r>
      <w:r>
        <w:rPr>
          <w:rFonts w:hint="eastAsia" w:ascii="方正小标宋简体" w:hAnsi="方正小标宋简体" w:eastAsia="方正小标宋简体" w:cs="方正小标宋简体"/>
          <w:b w:val="0"/>
          <w:bCs w:val="0"/>
          <w:color w:val="auto"/>
          <w:w w:val="95"/>
          <w:sz w:val="32"/>
          <w:szCs w:val="32"/>
          <w:lang w:val="en-US" w:eastAsia="zh-CN"/>
        </w:rPr>
        <w:t>（征求意见稿）</w:t>
      </w:r>
      <w:r>
        <w:rPr>
          <w:rFonts w:hint="eastAsia" w:ascii="方正小标宋简体" w:hAnsi="Times New Roman" w:eastAsia="方正小标宋简体" w:cs="Times New Roman"/>
          <w:b w:val="0"/>
          <w:bCs w:val="0"/>
          <w:color w:val="auto"/>
          <w:w w:val="95"/>
          <w:sz w:val="44"/>
          <w:szCs w:val="44"/>
          <w:lang w:eastAsia="zh-CN"/>
        </w:rPr>
        <w:t>》</w:t>
      </w:r>
      <w:r>
        <w:rPr>
          <w:rFonts w:hint="eastAsia" w:ascii="方正小标宋简体" w:hAnsi="Times New Roman" w:eastAsia="方正小标宋简体" w:cs="Times New Roman"/>
          <w:b w:val="0"/>
          <w:bCs w:val="0"/>
          <w:color w:val="auto"/>
          <w:w w:val="95"/>
          <w:sz w:val="44"/>
          <w:szCs w:val="44"/>
        </w:rPr>
        <w:t>的起草说明</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jc w:val="center"/>
        <w:textAlignment w:val="auto"/>
        <w:outlineLvl w:val="9"/>
        <w:rPr>
          <w:rFonts w:hint="eastAsia" w:ascii="仿宋" w:hAnsi="仿宋" w:eastAsia="仿宋" w:cs="仿宋"/>
          <w:i w:val="0"/>
          <w:caps w:val="0"/>
          <w:color w:val="auto"/>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sz w:val="32"/>
          <w:szCs w:val="32"/>
          <w:lang w:val="en-US" w:eastAsia="zh-CN"/>
        </w:rPr>
      </w:pPr>
      <w:r>
        <w:rPr>
          <w:rFonts w:hint="eastAsia" w:ascii="方正仿宋简体" w:hAnsi="Times New Roman" w:eastAsia="方正仿宋简体" w:cs="Times New Roman"/>
          <w:sz w:val="32"/>
          <w:szCs w:val="32"/>
          <w:lang w:eastAsia="zh-CN"/>
        </w:rPr>
        <w:t xml:space="preserve">  </w:t>
      </w:r>
      <w:r>
        <w:rPr>
          <w:rFonts w:hint="eastAsia" w:ascii="方正仿宋简体" w:hAnsi="Times New Roman" w:eastAsia="方正仿宋简体" w:cs="Times New Roman"/>
          <w:sz w:val="32"/>
          <w:szCs w:val="32"/>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Chars="200" w:right="0" w:rightChars="0" w:firstLine="320" w:firstLineChars="1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文件制定的背景说明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为</w:t>
      </w:r>
      <w:r>
        <w:rPr>
          <w:rFonts w:hint="eastAsia" w:ascii="仿宋" w:hAnsi="仿宋" w:eastAsia="仿宋" w:cs="仿宋"/>
          <w:sz w:val="32"/>
          <w:szCs w:val="32"/>
          <w:lang w:eastAsia="zh-CN"/>
        </w:rPr>
        <w:t>认真</w:t>
      </w:r>
      <w:r>
        <w:rPr>
          <w:rFonts w:hint="eastAsia" w:ascii="仿宋" w:hAnsi="仿宋" w:eastAsia="仿宋" w:cs="仿宋"/>
          <w:sz w:val="32"/>
          <w:szCs w:val="32"/>
        </w:rPr>
        <w:t>贯彻落实《广东省医疗保障局 广东省卫生健康委员会 广东省药品监督管理局关于建立完善国家医保谈判药品“双通道”管理机制的实施意见》（粤医保发〔2021〕40号</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、《广东省医疗保障局转发关于进一步做好定点零售药店纳入门诊统筹管理的通知》（</w:t>
      </w:r>
      <w:r>
        <w:rPr>
          <w:rFonts w:hint="eastAsia" w:ascii="仿宋" w:hAnsi="仿宋" w:eastAsia="仿宋" w:cs="仿宋"/>
          <w:b w:val="0"/>
          <w:bCs w:val="0"/>
          <w:sz w:val="32"/>
          <w:szCs w:val="32"/>
        </w:rPr>
        <w:t>粤医保</w:t>
      </w:r>
      <w:r>
        <w:rPr>
          <w:rFonts w:hint="eastAsia" w:ascii="仿宋" w:hAnsi="仿宋" w:eastAsia="仿宋" w:cs="仿宋"/>
          <w:b w:val="0"/>
          <w:bCs w:val="0"/>
          <w:sz w:val="32"/>
          <w:szCs w:val="32"/>
          <w:lang w:eastAsia="zh-CN"/>
        </w:rPr>
        <w:t>函</w:t>
      </w: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89</w:t>
      </w:r>
      <w:r>
        <w:rPr>
          <w:rFonts w:hint="eastAsia" w:ascii="仿宋" w:hAnsi="仿宋" w:eastAsia="仿宋" w:cs="仿宋"/>
          <w:b w:val="0"/>
          <w:bCs w:val="0"/>
          <w:sz w:val="32"/>
          <w:szCs w:val="32"/>
        </w:rPr>
        <w:t>号</w:t>
      </w:r>
      <w:r>
        <w:rPr>
          <w:rFonts w:hint="eastAsia" w:ascii="仿宋" w:hAnsi="仿宋" w:eastAsia="仿宋" w:cs="仿宋"/>
          <w:b w:val="0"/>
          <w:bCs w:val="0"/>
          <w:sz w:val="32"/>
          <w:szCs w:val="32"/>
          <w:lang w:eastAsia="zh-CN"/>
        </w:rPr>
        <w:t>）、《广东省医疗保障局关于进一步做好医保药品外配处方支付管理有关工作的通知》（</w:t>
      </w:r>
      <w:r>
        <w:rPr>
          <w:rFonts w:hint="eastAsia" w:ascii="仿宋" w:hAnsi="仿宋" w:eastAsia="仿宋" w:cs="仿宋"/>
          <w:b w:val="0"/>
          <w:bCs w:val="0"/>
          <w:sz w:val="32"/>
          <w:szCs w:val="32"/>
        </w:rPr>
        <w:t>粤医保</w:t>
      </w:r>
      <w:r>
        <w:rPr>
          <w:rFonts w:hint="eastAsia" w:ascii="仿宋" w:hAnsi="仿宋" w:eastAsia="仿宋" w:cs="仿宋"/>
          <w:b w:val="0"/>
          <w:bCs w:val="0"/>
          <w:sz w:val="32"/>
          <w:szCs w:val="32"/>
          <w:lang w:eastAsia="zh-CN"/>
        </w:rPr>
        <w:t>函</w:t>
      </w: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134</w:t>
      </w:r>
      <w:r>
        <w:rPr>
          <w:rFonts w:hint="eastAsia" w:ascii="仿宋" w:hAnsi="仿宋" w:eastAsia="仿宋" w:cs="仿宋"/>
          <w:b w:val="0"/>
          <w:bCs w:val="0"/>
          <w:sz w:val="32"/>
          <w:szCs w:val="32"/>
        </w:rPr>
        <w:t>号</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等文件精神，</w:t>
      </w:r>
      <w:r>
        <w:rPr>
          <w:rFonts w:hint="eastAsia" w:ascii="仿宋" w:hAnsi="仿宋" w:eastAsia="仿宋" w:cs="仿宋"/>
          <w:sz w:val="32"/>
          <w:szCs w:val="32"/>
          <w:lang w:eastAsia="zh-CN"/>
        </w:rPr>
        <w:t>更好地满足人民群众用药需求，结合我市实际，在</w:t>
      </w:r>
      <w:r>
        <w:rPr>
          <w:rFonts w:hint="eastAsia" w:ascii="仿宋" w:hAnsi="仿宋" w:eastAsia="仿宋" w:cs="仿宋"/>
          <w:sz w:val="32"/>
          <w:szCs w:val="32"/>
          <w:lang w:val="en-US" w:eastAsia="zh-CN"/>
        </w:rPr>
        <w:t>现行</w:t>
      </w:r>
      <w:r>
        <w:rPr>
          <w:rFonts w:hint="eastAsia" w:ascii="仿宋_GB2312" w:hAnsi="仿宋_GB2312" w:eastAsia="仿宋_GB2312" w:cs="仿宋_GB2312"/>
          <w:color w:val="auto"/>
          <w:sz w:val="32"/>
          <w:szCs w:val="32"/>
          <w:highlight w:val="none"/>
          <w:lang w:val="en-US" w:eastAsia="zh-CN"/>
        </w:rPr>
        <w:t>《关于建立完善国家医保谈判药品“双通道”管理机制的实施方案》（附件1）</w:t>
      </w:r>
      <w:r>
        <w:rPr>
          <w:rFonts w:hint="eastAsia" w:ascii="仿宋" w:hAnsi="仿宋" w:eastAsia="仿宋" w:cs="仿宋"/>
          <w:sz w:val="32"/>
          <w:szCs w:val="32"/>
          <w:lang w:eastAsia="zh-CN"/>
        </w:rPr>
        <w:t>的基础上，</w:t>
      </w:r>
      <w:r>
        <w:rPr>
          <w:rFonts w:hint="eastAsia" w:ascii="仿宋" w:hAnsi="仿宋" w:eastAsia="仿宋" w:cs="仿宋"/>
          <w:sz w:val="32"/>
          <w:szCs w:val="32"/>
          <w:lang w:val="en-US" w:eastAsia="zh-CN"/>
        </w:rPr>
        <w:t>草拟</w:t>
      </w:r>
      <w:r>
        <w:rPr>
          <w:rFonts w:hint="eastAsia" w:ascii="仿宋" w:hAnsi="仿宋" w:eastAsia="仿宋" w:cs="仿宋"/>
          <w:sz w:val="32"/>
          <w:szCs w:val="32"/>
          <w:lang w:eastAsia="zh-CN"/>
        </w:rPr>
        <w:t>本通知。</w:t>
      </w:r>
    </w:p>
    <w:p>
      <w:pPr>
        <w:pStyle w:val="7"/>
        <w:keepNext w:val="0"/>
        <w:keepLines w:val="0"/>
        <w:pageBreakBefore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eastAsia" w:ascii="黑体" w:hAnsi="黑体" w:eastAsia="方正黑体_GBK"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w:t>
      </w:r>
      <w:r>
        <w:rPr>
          <w:rFonts w:hint="eastAsia" w:ascii="方正黑体_GBK" w:hAnsi="方正黑体_GBK" w:eastAsia="方正黑体_GBK" w:cs="方正黑体_GBK"/>
          <w:sz w:val="32"/>
          <w:szCs w:val="32"/>
        </w:rPr>
        <w:t>法律法规政策依据</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PingFangSC-Regular" w:eastAsia="仿宋_GB2312" w:cs="仿宋_GB2312"/>
          <w:color w:val="auto"/>
          <w:kern w:val="2"/>
          <w:sz w:val="32"/>
          <w:szCs w:val="32"/>
          <w:u w:val="none"/>
          <w:lang w:val="en-US" w:eastAsia="zh-CN" w:bidi="ar-SA"/>
        </w:rPr>
      </w:pPr>
      <w:r>
        <w:rPr>
          <w:rFonts w:hint="eastAsia" w:ascii="仿宋" w:hAnsi="仿宋" w:eastAsia="仿宋" w:cs="仿宋"/>
          <w:sz w:val="32"/>
          <w:szCs w:val="32"/>
          <w:lang w:val="en-US" w:eastAsia="zh-CN"/>
        </w:rPr>
        <w:t>　</w:t>
      </w:r>
      <w:r>
        <w:rPr>
          <w:rFonts w:hint="eastAsia" w:ascii="仿宋_GB2312" w:hAnsi="PingFangSC-Regular" w:eastAsia="仿宋_GB2312" w:cs="仿宋_GB2312"/>
          <w:color w:val="auto"/>
          <w:kern w:val="2"/>
          <w:sz w:val="32"/>
          <w:szCs w:val="32"/>
          <w:u w:val="none"/>
          <w:lang w:val="en-US" w:eastAsia="zh-CN" w:bidi="ar-SA"/>
        </w:rPr>
        <w:t>　1.《广东省医疗保障局 广东省卫生健康委员会 广东省药品监督管理局关于建立完善国家医保谈判药品“双通道”管理机制的实施意见》（粤医保发〔2021〕40号）</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PingFangSC-Regular" w:eastAsia="仿宋_GB2312" w:cs="仿宋_GB2312"/>
          <w:color w:val="auto"/>
          <w:kern w:val="2"/>
          <w:sz w:val="32"/>
          <w:szCs w:val="32"/>
          <w:u w:val="none"/>
          <w:lang w:val="en-US" w:eastAsia="zh-CN" w:bidi="ar-SA"/>
        </w:rPr>
      </w:pPr>
      <w:r>
        <w:rPr>
          <w:rFonts w:hint="eastAsia" w:ascii="仿宋_GB2312" w:hAnsi="PingFangSC-Regular" w:eastAsia="仿宋_GB2312" w:cs="仿宋_GB2312"/>
          <w:color w:val="auto"/>
          <w:kern w:val="2"/>
          <w:sz w:val="32"/>
          <w:szCs w:val="32"/>
          <w:u w:val="none"/>
          <w:lang w:val="en-US" w:eastAsia="zh-CN" w:bidi="ar-SA"/>
        </w:rPr>
        <w:t>　　2.《广东省医疗保障局转发关于进一步做好定点零售药店纳入门诊统筹管理的通知》（粤医保函〔2023〕89号）</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PingFangSC-Regular" w:eastAsia="仿宋_GB2312" w:cs="仿宋_GB2312"/>
          <w:color w:val="auto"/>
          <w:kern w:val="2"/>
          <w:sz w:val="32"/>
          <w:szCs w:val="32"/>
          <w:u w:val="none"/>
          <w:lang w:val="en-US" w:eastAsia="zh-CN" w:bidi="ar-SA"/>
        </w:rPr>
      </w:pPr>
      <w:r>
        <w:rPr>
          <w:rFonts w:hint="eastAsia" w:ascii="仿宋_GB2312" w:hAnsi="PingFangSC-Regular" w:eastAsia="仿宋_GB2312" w:cs="仿宋_GB2312"/>
          <w:color w:val="auto"/>
          <w:kern w:val="2"/>
          <w:sz w:val="32"/>
          <w:szCs w:val="32"/>
          <w:u w:val="none"/>
          <w:lang w:val="en-US" w:eastAsia="zh-CN" w:bidi="ar-SA"/>
        </w:rPr>
        <w:t>　　3.《广东省医疗保障局关于进一步做好医保药品外配处方支付管理有关工作的通知》（粤医保函〔2023〕134号）</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方正黑体_GBK" w:hAnsi="方正黑体_GBK" w:eastAsia="方正黑体_GBK" w:cs="方正黑体_GBK"/>
          <w:sz w:val="32"/>
          <w:szCs w:val="32"/>
          <w:lang w:val="en-US" w:eastAsia="zh-CN"/>
        </w:rPr>
        <w:t>三、</w:t>
      </w:r>
      <w:r>
        <w:rPr>
          <w:rFonts w:hint="eastAsia" w:ascii="黑体" w:hAnsi="黑体" w:eastAsia="黑体" w:cs="黑体"/>
          <w:color w:val="auto"/>
          <w:sz w:val="32"/>
          <w:szCs w:val="32"/>
          <w:lang w:val="en-US" w:eastAsia="zh-CN"/>
        </w:rPr>
        <w:t>主要内容</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eastAsia" w:ascii="仿宋_GB2312" w:hAnsi="PingFangSC-Regular" w:eastAsia="仿宋_GB2312" w:cs="仿宋_GB2312"/>
          <w:b w:val="0"/>
          <w:bCs w:val="0"/>
          <w:color w:val="auto"/>
          <w:kern w:val="2"/>
          <w:sz w:val="32"/>
          <w:szCs w:val="32"/>
          <w:u w:val="none"/>
          <w:lang w:val="en-US" w:eastAsia="zh-CN" w:bidi="ar-SA"/>
        </w:rPr>
      </w:pPr>
      <w:r>
        <w:rPr>
          <w:rFonts w:hint="eastAsia" w:ascii="仿宋_GB2312" w:hAnsi="PingFangSC-Regular" w:eastAsia="仿宋_GB2312" w:cs="仿宋_GB2312"/>
          <w:b w:val="0"/>
          <w:bCs w:val="0"/>
          <w:color w:val="auto"/>
          <w:kern w:val="2"/>
          <w:sz w:val="32"/>
          <w:szCs w:val="32"/>
          <w:u w:val="none"/>
          <w:lang w:val="en-US" w:eastAsia="zh-CN" w:bidi="ar-SA"/>
        </w:rPr>
        <w:t>《通知</w:t>
      </w:r>
      <w:r>
        <w:rPr>
          <w:rFonts w:hint="eastAsia" w:ascii="仿宋_GB2312" w:hAnsi="仿宋_GB2312" w:eastAsia="仿宋_GB2312" w:cs="仿宋_GB2312"/>
          <w:b w:val="0"/>
          <w:bCs w:val="0"/>
          <w:sz w:val="32"/>
          <w:szCs w:val="32"/>
          <w:lang w:val="en-US" w:eastAsia="zh-CN"/>
        </w:rPr>
        <w:t>（征求意见稿）</w:t>
      </w:r>
      <w:r>
        <w:rPr>
          <w:rFonts w:hint="eastAsia" w:ascii="仿宋_GB2312" w:hAnsi="PingFangSC-Regular" w:eastAsia="仿宋_GB2312" w:cs="仿宋_GB2312"/>
          <w:b w:val="0"/>
          <w:bCs w:val="0"/>
          <w:color w:val="auto"/>
          <w:kern w:val="2"/>
          <w:sz w:val="32"/>
          <w:szCs w:val="32"/>
          <w:u w:val="none"/>
          <w:lang w:val="en-US" w:eastAsia="zh-CN" w:bidi="ar-SA"/>
        </w:rPr>
        <w:t>》主要内容：</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方正楷体_GBK" w:hAnsi="方正楷体_GBK" w:eastAsia="方正楷体_GBK" w:cs="方正楷体_GBK"/>
          <w:b w:val="0"/>
          <w:bCs w:val="0"/>
          <w:color w:val="auto"/>
          <w:kern w:val="2"/>
          <w:sz w:val="32"/>
          <w:szCs w:val="32"/>
          <w:u w:val="none"/>
          <w:lang w:val="en-US" w:eastAsia="zh-CN" w:bidi="ar-SA"/>
        </w:rPr>
        <w:t>总体目标。</w:t>
      </w:r>
      <w:r>
        <w:rPr>
          <w:rFonts w:hint="eastAsia" w:ascii="仿宋_GB2312" w:hAnsi="仿宋_GB2312" w:eastAsia="仿宋_GB2312" w:cs="仿宋_GB2312"/>
          <w:color w:val="auto"/>
          <w:sz w:val="32"/>
          <w:szCs w:val="32"/>
          <w:highlight w:val="none"/>
          <w:lang w:eastAsia="zh-CN"/>
        </w:rPr>
        <w:t>坚持以人民健康为中心，完善医保药品外配处方支付管理，保障参保人用药扩大到医保定点零售药店，落实谈判药品“双通道”管理机制，破解部分国谈药品进院难、购买难等问题，不断增强人民群众获得感、幸福感、安全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color w:val="auto"/>
          <w:kern w:val="2"/>
          <w:sz w:val="32"/>
          <w:szCs w:val="32"/>
          <w:u w:val="none"/>
          <w:lang w:val="en-US" w:eastAsia="zh-CN" w:bidi="ar-SA"/>
        </w:rPr>
        <w:t>（二）</w:t>
      </w:r>
      <w:r>
        <w:rPr>
          <w:rFonts w:hint="eastAsia" w:ascii="方正楷体_GBK" w:hAnsi="方正楷体_GBK" w:eastAsia="方正楷体_GBK" w:cs="方正楷体_GBK"/>
          <w:sz w:val="32"/>
          <w:szCs w:val="32"/>
          <w:lang w:val="en-US" w:eastAsia="zh-CN"/>
        </w:rPr>
        <w:t>医保药品外配处方</w:t>
      </w:r>
      <w:r>
        <w:rPr>
          <w:rFonts w:hint="eastAsia" w:ascii="方正楷体_GBK" w:hAnsi="方正楷体_GBK" w:eastAsia="方正楷体_GBK" w:cs="方正楷体_GBK"/>
          <w:sz w:val="32"/>
          <w:szCs w:val="32"/>
          <w:lang w:eastAsia="zh-CN"/>
        </w:rPr>
        <w:t>保障</w:t>
      </w:r>
      <w:r>
        <w:rPr>
          <w:rFonts w:hint="eastAsia" w:ascii="方正楷体_GBK" w:hAnsi="方正楷体_GBK" w:eastAsia="方正楷体_GBK" w:cs="方正楷体_GBK"/>
          <w:sz w:val="32"/>
          <w:szCs w:val="32"/>
        </w:rPr>
        <w:t>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1"/>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1.一类外配处方:现行双通道外配处方。双通道药品范围执行省局公布的双通道药品范围。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1"/>
        <w:textAlignment w:val="auto"/>
        <w:outlineLvl w:val="9"/>
        <w:rPr>
          <w:rFonts w:hint="eastAsia" w:ascii="仿宋" w:hAnsi="仿宋" w:eastAsia="仿宋" w:cs="仿宋"/>
          <w:b w:val="0"/>
          <w:bCs w:val="0"/>
          <w:sz w:val="32"/>
          <w:szCs w:val="32"/>
          <w:lang w:val="en-US" w:eastAsia="zh-CN"/>
        </w:rPr>
      </w:pPr>
      <w:r>
        <w:rPr>
          <w:rFonts w:hint="eastAsia" w:ascii="仿宋_GB2312" w:hAnsi="仿宋_GB2312" w:eastAsia="仿宋_GB2312" w:cs="仿宋_GB2312"/>
          <w:color w:val="auto"/>
          <w:sz w:val="32"/>
          <w:szCs w:val="32"/>
          <w:highlight w:val="none"/>
          <w:lang w:val="en-US" w:eastAsia="zh-CN"/>
        </w:rPr>
        <w:t>2.二类外配处方:一是职工</w:t>
      </w:r>
      <w:r>
        <w:rPr>
          <w:rFonts w:hint="eastAsia" w:ascii="仿宋_GB2312" w:hAnsi="仿宋_GB2312" w:eastAsia="仿宋_GB2312" w:cs="仿宋_GB2312"/>
          <w:color w:val="auto"/>
          <w:sz w:val="32"/>
          <w:szCs w:val="32"/>
          <w:highlight w:val="none"/>
          <w:lang w:eastAsia="zh-CN"/>
        </w:rPr>
        <w:t>医保门诊统筹处方外配流转，</w:t>
      </w:r>
      <w:r>
        <w:rPr>
          <w:rFonts w:hint="eastAsia" w:ascii="仿宋_GB2312" w:hAnsi="仿宋_GB2312" w:eastAsia="仿宋_GB2312" w:cs="仿宋_GB2312"/>
          <w:color w:val="auto"/>
          <w:sz w:val="32"/>
          <w:szCs w:val="32"/>
          <w:highlight w:val="none"/>
          <w:lang w:val="en-US" w:eastAsia="zh-CN"/>
        </w:rPr>
        <w:t>用药范围为医保药品目录</w:t>
      </w:r>
      <w:r>
        <w:rPr>
          <w:rFonts w:hint="eastAsia" w:ascii="仿宋_GB2312" w:hAnsi="仿宋_GB2312" w:eastAsia="仿宋_GB2312" w:cs="仿宋_GB2312"/>
          <w:color w:val="auto"/>
          <w:sz w:val="32"/>
          <w:szCs w:val="32"/>
          <w:highlight w:val="none"/>
          <w:lang w:eastAsia="zh-CN"/>
        </w:rPr>
        <w:t>。</w:t>
      </w:r>
      <w:r>
        <w:rPr>
          <w:rFonts w:hint="eastAsia" w:ascii="仿宋" w:hAnsi="仿宋" w:eastAsia="仿宋" w:cs="仿宋"/>
          <w:b w:val="0"/>
          <w:bCs w:val="0"/>
          <w:sz w:val="32"/>
          <w:szCs w:val="32"/>
          <w:u w:val="none"/>
          <w:lang w:eastAsia="zh-CN"/>
        </w:rPr>
        <w:t>居民医保门诊统筹处方暂不实行外配流转。二是</w:t>
      </w:r>
      <w:r>
        <w:rPr>
          <w:rFonts w:hint="eastAsia" w:ascii="仿宋" w:hAnsi="仿宋" w:eastAsia="仿宋" w:cs="仿宋"/>
          <w:b w:val="0"/>
          <w:bCs w:val="0"/>
          <w:sz w:val="32"/>
          <w:szCs w:val="32"/>
          <w:lang w:val="en-US" w:eastAsia="zh-CN"/>
        </w:rPr>
        <w:t>职工医保、居民医保高血压、糖尿病门诊特定病种外配处方，用药范围为省局公布的“两病”用药范围及其医保支付标准。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楷体_GBK" w:hAnsi="方正楷体_GBK" w:eastAsia="方正楷体_GBK" w:cs="方正楷体_GBK"/>
          <w:b w:val="0"/>
          <w:bCs w:val="0"/>
          <w:sz w:val="32"/>
          <w:szCs w:val="32"/>
          <w:u w:val="none"/>
          <w:lang w:val="en-US" w:eastAsia="zh-CN"/>
        </w:rPr>
      </w:pPr>
      <w:r>
        <w:rPr>
          <w:rFonts w:hint="eastAsia" w:ascii="方正楷体_GBK" w:hAnsi="方正楷体_GBK" w:eastAsia="方正楷体_GBK" w:cs="方正楷体_GBK"/>
          <w:b w:val="0"/>
          <w:bCs w:val="0"/>
          <w:sz w:val="32"/>
          <w:szCs w:val="32"/>
          <w:u w:val="none"/>
          <w:lang w:val="en-US" w:eastAsia="zh-CN"/>
        </w:rPr>
        <w:t>（三）重点任务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1.外配处方流转定点医疗机构:</w:t>
      </w:r>
      <w:r>
        <w:rPr>
          <w:rFonts w:hint="eastAsia" w:ascii="仿宋" w:hAnsi="仿宋" w:eastAsia="仿宋" w:cs="仿宋"/>
          <w:b w:val="0"/>
          <w:bCs w:val="0"/>
          <w:sz w:val="32"/>
          <w:szCs w:val="32"/>
          <w:lang w:val="en-US" w:eastAsia="zh-CN"/>
        </w:rPr>
        <w:t>拟要求市、县14家公立医院在2023年11月30日前完成信息系统改造，在“电子处方流转中台（国标版）”开通一类外配处方流转业务。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2.外配处方流转定点零售药店遴选、标准及方式</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 w:hAnsi="仿宋" w:eastAsia="仿宋" w:cs="仿宋"/>
          <w:b w:val="0"/>
          <w:bCs w:val="0"/>
          <w:sz w:val="32"/>
          <w:szCs w:val="32"/>
          <w:lang w:val="en-US" w:eastAsia="zh-CN"/>
        </w:rPr>
        <w:t>（1）一类外配处方定点零售药店（同时提供二类外配处方服务）:</w:t>
      </w:r>
      <w:r>
        <w:rPr>
          <w:rFonts w:hint="eastAsia" w:ascii="仿宋_GB2312" w:hAnsi="仿宋_GB2312" w:eastAsia="仿宋_GB2312" w:cs="仿宋_GB2312"/>
          <w:b w:val="0"/>
          <w:bCs w:val="0"/>
          <w:sz w:val="32"/>
          <w:szCs w:val="32"/>
          <w:lang w:val="en-US" w:eastAsia="zh-CN"/>
        </w:rPr>
        <w:t>在原已</w:t>
      </w:r>
      <w:r>
        <w:rPr>
          <w:rFonts w:hint="eastAsia" w:ascii="仿宋_GB2312" w:hAnsi="仿宋_GB2312" w:eastAsia="仿宋_GB2312" w:cs="仿宋_GB2312"/>
          <w:b w:val="0"/>
          <w:bCs w:val="0"/>
          <w:sz w:val="32"/>
          <w:szCs w:val="32"/>
          <w:lang w:eastAsia="zh-CN"/>
        </w:rPr>
        <w:t>遴选纳入双通道定点零售药店的基础上</w:t>
      </w:r>
      <w:r>
        <w:rPr>
          <w:rFonts w:hint="eastAsia" w:ascii="仿宋_GB2312" w:hAnsi="仿宋_GB2312" w:eastAsia="仿宋_GB2312" w:cs="仿宋_GB2312"/>
          <w:b w:val="0"/>
          <w:bCs w:val="0"/>
          <w:sz w:val="32"/>
          <w:szCs w:val="32"/>
          <w:lang w:val="en-US" w:eastAsia="zh-CN"/>
        </w:rPr>
        <w:t>(16家)</w:t>
      </w:r>
      <w:r>
        <w:rPr>
          <w:rFonts w:hint="eastAsia" w:ascii="仿宋_GB2312" w:hAnsi="仿宋_GB2312" w:eastAsia="仿宋_GB2312" w:cs="仿宋_GB2312"/>
          <w:b w:val="0"/>
          <w:bCs w:val="0"/>
          <w:sz w:val="32"/>
          <w:szCs w:val="32"/>
          <w:lang w:eastAsia="zh-CN"/>
        </w:rPr>
        <w:t>，源城区及江东新区再遴选</w:t>
      </w:r>
      <w:r>
        <w:rPr>
          <w:rFonts w:hint="eastAsia" w:ascii="仿宋_GB2312" w:hAnsi="仿宋_GB2312" w:eastAsia="仿宋_GB2312" w:cs="仿宋_GB2312"/>
          <w:b w:val="0"/>
          <w:bCs w:val="0"/>
          <w:sz w:val="32"/>
          <w:szCs w:val="32"/>
          <w:lang w:val="en-US" w:eastAsia="zh-CN"/>
        </w:rPr>
        <w:t>3家（其中，老城区2家，老城区范围没有满足条件的可由新区保障），各县分别再</w:t>
      </w:r>
      <w:r>
        <w:rPr>
          <w:rFonts w:hint="eastAsia" w:ascii="仿宋_GB2312" w:hAnsi="仿宋_GB2312" w:eastAsia="仿宋_GB2312" w:cs="仿宋_GB2312"/>
          <w:b w:val="0"/>
          <w:bCs w:val="0"/>
          <w:sz w:val="32"/>
          <w:szCs w:val="32"/>
          <w:lang w:eastAsia="zh-CN"/>
        </w:rPr>
        <w:t>遴选</w:t>
      </w:r>
      <w:r>
        <w:rPr>
          <w:rFonts w:hint="eastAsia" w:ascii="仿宋_GB2312" w:hAnsi="仿宋_GB2312" w:eastAsia="仿宋_GB2312" w:cs="仿宋_GB2312"/>
          <w:b w:val="0"/>
          <w:bCs w:val="0"/>
          <w:sz w:val="32"/>
          <w:szCs w:val="32"/>
          <w:lang w:val="en-US" w:eastAsia="zh-CN"/>
        </w:rPr>
        <w:t>1家。</w:t>
      </w:r>
      <w:r>
        <w:rPr>
          <w:rFonts w:hint="eastAsia" w:ascii="仿宋_GB2312" w:hAnsi="仿宋_GB2312" w:eastAsia="仿宋_GB2312" w:cs="仿宋_GB2312"/>
          <w:b w:val="0"/>
          <w:bCs w:val="0"/>
          <w:sz w:val="32"/>
          <w:szCs w:val="32"/>
          <w:u w:val="none"/>
          <w:lang w:val="en-US" w:eastAsia="zh-CN"/>
        </w:rPr>
        <w:t>原则上源城区（含江东新区），同一连锁企业（或集团总部）和同一实际控制人控制的公司所属的药店数量最多不超过3家（含已遴选）；各县辖区内，同一连锁企业（或集团总部）和同一实际控制人控制的公司所属的药店数量最多不超过1家（含已遴选）</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（2）二类外配处方定点零售药店:源城区、江东新区范围遴选10家，其中</w:t>
      </w:r>
      <w:r>
        <w:rPr>
          <w:rFonts w:hint="eastAsia" w:ascii="仿宋" w:hAnsi="仿宋" w:eastAsia="仿宋" w:cs="仿宋"/>
          <w:b w:val="0"/>
          <w:bCs w:val="0"/>
          <w:sz w:val="32"/>
          <w:szCs w:val="32"/>
          <w:u w:val="none"/>
          <w:lang w:val="en-US" w:eastAsia="zh-CN"/>
        </w:rPr>
        <w:t>单体药店不少于5家；</w:t>
      </w:r>
      <w:r>
        <w:rPr>
          <w:rFonts w:hint="eastAsia" w:ascii="仿宋" w:hAnsi="仿宋" w:eastAsia="仿宋" w:cs="仿宋"/>
          <w:b w:val="0"/>
          <w:bCs w:val="0"/>
          <w:sz w:val="32"/>
          <w:szCs w:val="32"/>
          <w:lang w:val="en-US" w:eastAsia="zh-CN"/>
        </w:rPr>
        <w:t>各县分别遴选3家</w:t>
      </w:r>
      <w:r>
        <w:rPr>
          <w:rFonts w:hint="eastAsia" w:ascii="仿宋" w:hAnsi="仿宋" w:eastAsia="仿宋" w:cs="仿宋"/>
          <w:b w:val="0"/>
          <w:bCs w:val="0"/>
          <w:sz w:val="32"/>
          <w:szCs w:val="32"/>
          <w:u w:val="none"/>
          <w:lang w:val="en-US" w:eastAsia="zh-CN"/>
        </w:rPr>
        <w:t>，其中每个县单体药店不少于1家。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3.统一医保支付政策和医保支付标准</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baseline"/>
        <w:rPr>
          <w:rFonts w:hint="eastAsia" w:ascii="仿宋" w:hAnsi="仿宋" w:eastAsia="仿宋" w:cs="仿宋"/>
          <w:b w:val="0"/>
          <w:bCs w:val="0"/>
          <w:sz w:val="32"/>
          <w:szCs w:val="32"/>
          <w:u w:val="none"/>
          <w:lang w:val="en-US" w:eastAsia="zh-CN"/>
        </w:rPr>
      </w:pPr>
      <w:r>
        <w:rPr>
          <w:rFonts w:hint="eastAsia" w:ascii="仿宋_GB2312" w:hAnsi="仿宋_GB2312" w:eastAsia="仿宋_GB2312" w:cs="仿宋_GB2312"/>
          <w:b w:val="0"/>
          <w:bCs w:val="0"/>
          <w:color w:val="auto"/>
          <w:kern w:val="2"/>
          <w:sz w:val="32"/>
          <w:szCs w:val="32"/>
          <w:lang w:val="en-US" w:eastAsia="zh-CN" w:bidi="ar-SA"/>
        </w:rPr>
        <w:t>（1）</w:t>
      </w:r>
      <w:r>
        <w:rPr>
          <w:rFonts w:hint="eastAsia" w:ascii="仿宋" w:hAnsi="仿宋" w:eastAsia="仿宋" w:cs="仿宋"/>
          <w:b w:val="0"/>
          <w:bCs w:val="0"/>
          <w:sz w:val="32"/>
          <w:szCs w:val="32"/>
        </w:rPr>
        <w:t>纳入</w:t>
      </w:r>
      <w:r>
        <w:rPr>
          <w:rFonts w:hint="eastAsia" w:ascii="仿宋" w:hAnsi="仿宋" w:eastAsia="仿宋" w:cs="仿宋"/>
          <w:b w:val="0"/>
          <w:bCs w:val="0"/>
          <w:sz w:val="32"/>
          <w:szCs w:val="32"/>
          <w:lang w:eastAsia="zh-CN"/>
        </w:rPr>
        <w:t>外配处方支付</w:t>
      </w:r>
      <w:r>
        <w:rPr>
          <w:rFonts w:hint="eastAsia" w:ascii="仿宋" w:hAnsi="仿宋" w:eastAsia="仿宋" w:cs="仿宋"/>
          <w:b w:val="0"/>
          <w:bCs w:val="0"/>
          <w:sz w:val="32"/>
          <w:szCs w:val="32"/>
        </w:rPr>
        <w:t>管理的药品</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在定点医疗机构和</w:t>
      </w:r>
      <w:r>
        <w:rPr>
          <w:rFonts w:hint="eastAsia" w:ascii="仿宋_GB2312" w:hAnsi="仿宋_GB2312" w:eastAsia="仿宋_GB2312" w:cs="仿宋_GB2312"/>
          <w:b w:val="0"/>
          <w:bCs w:val="0"/>
          <w:color w:val="auto"/>
          <w:sz w:val="32"/>
          <w:szCs w:val="32"/>
          <w:highlight w:val="none"/>
          <w:lang w:val="en-US" w:eastAsia="zh-CN"/>
        </w:rPr>
        <w:t>“一类、二类</w:t>
      </w:r>
      <w:r>
        <w:rPr>
          <w:rFonts w:hint="eastAsia" w:ascii="仿宋_GB2312" w:hAnsi="仿宋_GB2312" w:eastAsia="仿宋_GB2312" w:cs="仿宋_GB2312"/>
          <w:b w:val="0"/>
          <w:bCs w:val="0"/>
          <w:color w:val="auto"/>
          <w:sz w:val="32"/>
          <w:szCs w:val="32"/>
          <w:highlight w:val="none"/>
          <w:u w:val="none"/>
          <w:lang w:val="en-US" w:eastAsia="zh-CN"/>
        </w:rPr>
        <w:t>外配处方定点零售药店</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 w:hAnsi="仿宋" w:eastAsia="仿宋" w:cs="仿宋"/>
          <w:b w:val="0"/>
          <w:bCs w:val="0"/>
          <w:sz w:val="32"/>
          <w:szCs w:val="32"/>
        </w:rPr>
        <w:t>执行统一的支付标准和价格政策</w:t>
      </w:r>
      <w:r>
        <w:rPr>
          <w:rFonts w:hint="eastAsia" w:ascii="仿宋" w:hAnsi="仿宋" w:eastAsia="仿宋" w:cs="仿宋"/>
          <w:b w:val="0"/>
          <w:bCs w:val="0"/>
          <w:sz w:val="32"/>
          <w:szCs w:val="32"/>
          <w:lang w:eastAsia="zh-CN"/>
        </w:rPr>
        <w:t>。</w:t>
      </w:r>
      <w:r>
        <w:rPr>
          <w:rFonts w:hint="eastAsia" w:ascii="仿宋_GB2312" w:hAnsi="仿宋_GB2312" w:eastAsia="仿宋_GB2312" w:cs="仿宋_GB2312"/>
          <w:b w:val="0"/>
          <w:bCs w:val="0"/>
          <w:color w:val="auto"/>
          <w:sz w:val="32"/>
          <w:szCs w:val="32"/>
          <w:highlight w:val="none"/>
          <w:u w:val="none"/>
          <w:lang w:val="en-US" w:eastAsia="zh-CN"/>
        </w:rPr>
        <w:t>“一类、二类外配处方定点零售药店”药品</w:t>
      </w:r>
      <w:r>
        <w:rPr>
          <w:rFonts w:hint="eastAsia" w:ascii="仿宋" w:hAnsi="仿宋" w:eastAsia="仿宋" w:cs="仿宋"/>
          <w:b w:val="0"/>
          <w:bCs w:val="0"/>
          <w:sz w:val="32"/>
          <w:szCs w:val="32"/>
          <w:u w:val="none"/>
          <w:lang w:val="en-US" w:eastAsia="zh-CN"/>
        </w:rPr>
        <w:t>价格低于医保支付标准的，按定点零售药店价格执行。</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baseline"/>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（2）明确市医保管理中心与一类二类外配处方药店的结算方式，实行“月度结算、年度清算”，并按3%比例暂扣服务质量考评金。服务质量考核评分标准另行制定。</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baseline"/>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（3）明确住院参保人使用一类外配处方的结算方式，以及DIP年终清算措施。</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baseline"/>
        <w:rPr>
          <w:rFonts w:hint="eastAsia" w:ascii="仿宋" w:hAnsi="仿宋" w:eastAsia="仿宋" w:cs="仿宋"/>
          <w:b w:val="0"/>
          <w:bCs w:val="0"/>
          <w:sz w:val="32"/>
          <w:szCs w:val="32"/>
          <w:u w:val="none"/>
          <w:lang w:val="en-US" w:eastAsia="zh-CN"/>
        </w:rPr>
      </w:pPr>
      <w:r>
        <w:rPr>
          <w:rFonts w:hint="eastAsia" w:ascii="仿宋" w:hAnsi="仿宋" w:eastAsia="仿宋" w:cs="仿宋"/>
          <w:b/>
          <w:bCs/>
          <w:sz w:val="32"/>
          <w:szCs w:val="32"/>
          <w:u w:val="none"/>
          <w:lang w:val="en-US" w:eastAsia="zh-CN"/>
        </w:rPr>
        <w:t>4.建立外配处方支付管理机制：</w:t>
      </w:r>
      <w:r>
        <w:rPr>
          <w:rFonts w:hint="eastAsia" w:ascii="仿宋" w:hAnsi="仿宋" w:eastAsia="仿宋" w:cs="仿宋"/>
          <w:b w:val="0"/>
          <w:bCs w:val="0"/>
          <w:sz w:val="32"/>
          <w:szCs w:val="32"/>
          <w:u w:val="none"/>
          <w:lang w:val="en-US" w:eastAsia="zh-CN"/>
        </w:rPr>
        <w:t>包括履行协议监督、外配处方医师诊疗行为、数据上传、免费配送等。</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baseline"/>
        <w:rPr>
          <w:rFonts w:hint="eastAsia" w:ascii="方正楷体_GBK" w:hAnsi="方正楷体_GBK" w:eastAsia="方正楷体_GBK" w:cs="方正楷体_GBK"/>
          <w:b w:val="0"/>
          <w:bCs w:val="0"/>
          <w:sz w:val="32"/>
          <w:szCs w:val="32"/>
          <w:u w:val="none"/>
          <w:lang w:val="en-US" w:eastAsia="zh-CN"/>
        </w:rPr>
      </w:pPr>
      <w:r>
        <w:rPr>
          <w:rFonts w:hint="eastAsia" w:ascii="方正楷体_GBK" w:hAnsi="方正楷体_GBK" w:eastAsia="方正楷体_GBK" w:cs="方正楷体_GBK"/>
          <w:b w:val="0"/>
          <w:bCs w:val="0"/>
          <w:sz w:val="32"/>
          <w:szCs w:val="32"/>
          <w:u w:val="none"/>
          <w:lang w:val="en-US" w:eastAsia="zh-CN"/>
        </w:rPr>
        <w:t>（四）组织保障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u w:val="none"/>
          <w:lang w:val="en-US" w:eastAsia="zh-CN"/>
        </w:rPr>
        <w:t>包括明确各方责任、强化协议管理、加强监督评估，重点明确：一是</w:t>
      </w:r>
      <w:r>
        <w:rPr>
          <w:rFonts w:hint="eastAsia" w:ascii="仿宋" w:hAnsi="仿宋" w:eastAsia="仿宋" w:cs="仿宋"/>
          <w:b w:val="0"/>
          <w:bCs w:val="0"/>
          <w:sz w:val="32"/>
          <w:szCs w:val="32"/>
          <w:lang w:val="en-US" w:eastAsia="zh-CN"/>
        </w:rPr>
        <w:t>市、县区目前已通过</w:t>
      </w:r>
      <w:r>
        <w:rPr>
          <w:rFonts w:hint="eastAsia" w:ascii="仿宋_GB2312" w:hAnsi="仿宋_GB2312" w:eastAsia="仿宋_GB2312" w:cs="仿宋_GB2312"/>
          <w:b w:val="0"/>
          <w:bCs w:val="0"/>
          <w:color w:val="auto"/>
          <w:sz w:val="32"/>
          <w:szCs w:val="32"/>
          <w:highlight w:val="none"/>
          <w:lang w:val="en-US" w:eastAsia="zh-CN"/>
        </w:rPr>
        <w:t>遴选、已纳入</w:t>
      </w:r>
      <w:r>
        <w:rPr>
          <w:rFonts w:hint="eastAsia" w:ascii="仿宋" w:hAnsi="仿宋" w:eastAsia="仿宋" w:cs="仿宋"/>
          <w:b w:val="0"/>
          <w:bCs w:val="0"/>
          <w:sz w:val="32"/>
          <w:szCs w:val="32"/>
          <w:lang w:val="en-US" w:eastAsia="zh-CN"/>
        </w:rPr>
        <w:t>双通道的定点零售药店，在2023年11月30日前，仍未在“电子处方流转中台”（国标版）开通外配处方流转业务的，视作主动放弃双通道定点零售药店资格。二是今后新纳入“一类、二类外配处方定点零售药店”，需在3个月内按照要求上级“电子处方流转中台（国标版）”开通外配处方流转业务，超过3个月的，视作主动放弃“一类、二类外配处方定点零售药店资格”。</w:t>
      </w:r>
    </w:p>
    <w:p>
      <w:pPr>
        <w:keepNext w:val="0"/>
        <w:keepLines w:val="0"/>
        <w:pageBreakBefore w:val="0"/>
        <w:kinsoku/>
        <w:wordWrap/>
        <w:overflowPunct/>
        <w:topLinePunct w:val="0"/>
        <w:autoSpaceDE/>
        <w:autoSpaceDN/>
        <w:bidi w:val="0"/>
        <w:adjustRightInd/>
        <w:snapToGrid/>
        <w:spacing w:line="540" w:lineRule="exact"/>
        <w:ind w:firstLine="620" w:firstLineChars="200"/>
        <w:jc w:val="right"/>
        <w:textAlignment w:val="auto"/>
        <w:rPr>
          <w:rFonts w:hint="eastAsia" w:ascii="仿宋_GB2312" w:hAnsi="宋体" w:eastAsia="仿宋_GB2312" w:cs="仿宋_GB2312"/>
          <w:i w:val="0"/>
          <w:iCs w:val="0"/>
          <w:caps w:val="0"/>
          <w:color w:val="auto"/>
          <w:spacing w:val="0"/>
          <w:sz w:val="31"/>
          <w:szCs w:val="31"/>
          <w:shd w:val="clear" w:fill="FFFFFF"/>
          <w:lang w:val="en-US" w:eastAsia="zh-CN"/>
        </w:rPr>
      </w:pPr>
      <w:bookmarkStart w:id="0" w:name="_GoBack"/>
      <w:bookmarkEnd w:id="0"/>
    </w:p>
    <w:p>
      <w:pPr>
        <w:keepNext w:val="0"/>
        <w:keepLines w:val="0"/>
        <w:pageBreakBefore w:val="0"/>
        <w:kinsoku/>
        <w:wordWrap/>
        <w:overflowPunct/>
        <w:topLinePunct w:val="0"/>
        <w:autoSpaceDE/>
        <w:autoSpaceDN/>
        <w:bidi w:val="0"/>
        <w:adjustRightInd/>
        <w:snapToGrid/>
        <w:spacing w:line="540" w:lineRule="exact"/>
        <w:jc w:val="right"/>
        <w:textAlignment w:val="auto"/>
        <w:rPr>
          <w:color w:val="auto"/>
        </w:rPr>
      </w:pPr>
      <w:r>
        <w:rPr>
          <w:rFonts w:hint="eastAsia" w:ascii="仿宋_GB2312" w:hAnsi="仿宋_GB2312" w:eastAsia="仿宋_GB2312" w:cs="仿宋_GB2312"/>
          <w:color w:val="auto"/>
          <w:kern w:val="2"/>
          <w:sz w:val="32"/>
          <w:szCs w:val="32"/>
          <w:lang w:val="en-US" w:eastAsia="zh-CN" w:bidi="ar-SA"/>
        </w:rPr>
        <w:t xml:space="preserve">                         </w:t>
      </w:r>
    </w:p>
    <w:sectPr>
      <w:headerReference r:id="rId3" w:type="default"/>
      <w:footerReference r:id="rId4" w:type="default"/>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PingFangSC-Regular">
    <w:altName w:val="方正公文小标宋"/>
    <w:panose1 w:val="00000000000000000000"/>
    <w:charset w:val="00"/>
    <w:family w:val="auto"/>
    <w:pitch w:val="default"/>
    <w:sig w:usb0="00000000" w:usb1="00000000" w:usb2="00000000"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5AB0C"/>
    <w:multiLevelType w:val="singleLevel"/>
    <w:tmpl w:val="BA85AB0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ZDgyMjI2YTA1OWE2NjJkODQwMGZiNGFjZTA0NDkifQ=="/>
  </w:docVars>
  <w:rsids>
    <w:rsidRoot w:val="3E7A2029"/>
    <w:rsid w:val="0454200D"/>
    <w:rsid w:val="04565C65"/>
    <w:rsid w:val="04590737"/>
    <w:rsid w:val="05293FD2"/>
    <w:rsid w:val="06F77046"/>
    <w:rsid w:val="071FE67E"/>
    <w:rsid w:val="07FF2BB8"/>
    <w:rsid w:val="0AC570FF"/>
    <w:rsid w:val="0D411525"/>
    <w:rsid w:val="0E930EC7"/>
    <w:rsid w:val="0E9E4BF5"/>
    <w:rsid w:val="0EF5449A"/>
    <w:rsid w:val="141C0F78"/>
    <w:rsid w:val="16BF9546"/>
    <w:rsid w:val="197B3CA5"/>
    <w:rsid w:val="1C1500B0"/>
    <w:rsid w:val="1C6B2613"/>
    <w:rsid w:val="1DDE151F"/>
    <w:rsid w:val="1F33268E"/>
    <w:rsid w:val="1FEF0E9D"/>
    <w:rsid w:val="20210D51"/>
    <w:rsid w:val="21542FEC"/>
    <w:rsid w:val="23E435B7"/>
    <w:rsid w:val="24AA1A26"/>
    <w:rsid w:val="25FB42F4"/>
    <w:rsid w:val="272F4BD3"/>
    <w:rsid w:val="283C4D1B"/>
    <w:rsid w:val="29BB6106"/>
    <w:rsid w:val="2A815D56"/>
    <w:rsid w:val="2AD365B6"/>
    <w:rsid w:val="2B320204"/>
    <w:rsid w:val="2FAB10DF"/>
    <w:rsid w:val="2FCF095F"/>
    <w:rsid w:val="31DA26D5"/>
    <w:rsid w:val="325F6974"/>
    <w:rsid w:val="33D645A1"/>
    <w:rsid w:val="36D23FE0"/>
    <w:rsid w:val="37BB5C62"/>
    <w:rsid w:val="3AC122DB"/>
    <w:rsid w:val="3B003FA8"/>
    <w:rsid w:val="3CFDB5C1"/>
    <w:rsid w:val="3DB57326"/>
    <w:rsid w:val="3DEAA755"/>
    <w:rsid w:val="3E7A2029"/>
    <w:rsid w:val="3FBF9F2C"/>
    <w:rsid w:val="3FF64510"/>
    <w:rsid w:val="4273710C"/>
    <w:rsid w:val="464B64F1"/>
    <w:rsid w:val="4BF90BD9"/>
    <w:rsid w:val="4CFF1AA9"/>
    <w:rsid w:val="4DED00A3"/>
    <w:rsid w:val="4DFFB8F5"/>
    <w:rsid w:val="4E46377E"/>
    <w:rsid w:val="4EA52D44"/>
    <w:rsid w:val="4F0D65E7"/>
    <w:rsid w:val="50A2140B"/>
    <w:rsid w:val="56971F25"/>
    <w:rsid w:val="572B0A48"/>
    <w:rsid w:val="57F05F3E"/>
    <w:rsid w:val="58B4023B"/>
    <w:rsid w:val="595A7429"/>
    <w:rsid w:val="59CA622B"/>
    <w:rsid w:val="5B3DACA8"/>
    <w:rsid w:val="5B7500F1"/>
    <w:rsid w:val="5BB078A2"/>
    <w:rsid w:val="5CAD6EB8"/>
    <w:rsid w:val="5DB3887C"/>
    <w:rsid w:val="5E7F59C2"/>
    <w:rsid w:val="5EF127C2"/>
    <w:rsid w:val="5F1640D1"/>
    <w:rsid w:val="5F7F1D08"/>
    <w:rsid w:val="5F94428F"/>
    <w:rsid w:val="5FCAA504"/>
    <w:rsid w:val="5FEE3FFD"/>
    <w:rsid w:val="5FFE560E"/>
    <w:rsid w:val="5FFFA2D7"/>
    <w:rsid w:val="5FFFF28A"/>
    <w:rsid w:val="62141FF3"/>
    <w:rsid w:val="624019E1"/>
    <w:rsid w:val="641428F1"/>
    <w:rsid w:val="641875B6"/>
    <w:rsid w:val="65592789"/>
    <w:rsid w:val="66F18EB0"/>
    <w:rsid w:val="6BF3D066"/>
    <w:rsid w:val="6BFBB079"/>
    <w:rsid w:val="6F5D3DAB"/>
    <w:rsid w:val="6FBF2D31"/>
    <w:rsid w:val="70D251A8"/>
    <w:rsid w:val="712B2DAA"/>
    <w:rsid w:val="720A3663"/>
    <w:rsid w:val="726D43C7"/>
    <w:rsid w:val="730335D1"/>
    <w:rsid w:val="73BD18D0"/>
    <w:rsid w:val="73DEE535"/>
    <w:rsid w:val="745406E3"/>
    <w:rsid w:val="74BA595A"/>
    <w:rsid w:val="750E4FA7"/>
    <w:rsid w:val="75EFC678"/>
    <w:rsid w:val="75F9015C"/>
    <w:rsid w:val="76FC0B4E"/>
    <w:rsid w:val="77432CC6"/>
    <w:rsid w:val="779F3CAF"/>
    <w:rsid w:val="77D2411B"/>
    <w:rsid w:val="77FF9840"/>
    <w:rsid w:val="78BB5C7A"/>
    <w:rsid w:val="794459D9"/>
    <w:rsid w:val="7BDDD1D2"/>
    <w:rsid w:val="7BFD0C12"/>
    <w:rsid w:val="7C7D1141"/>
    <w:rsid w:val="7D7FB724"/>
    <w:rsid w:val="7E9FE76E"/>
    <w:rsid w:val="7EBF653C"/>
    <w:rsid w:val="7F3F8095"/>
    <w:rsid w:val="7F5F477E"/>
    <w:rsid w:val="7FAF265C"/>
    <w:rsid w:val="7FF5A52B"/>
    <w:rsid w:val="7FFA99EA"/>
    <w:rsid w:val="8EAFD7F1"/>
    <w:rsid w:val="9BEC1FCB"/>
    <w:rsid w:val="9EFFC382"/>
    <w:rsid w:val="ADF555E5"/>
    <w:rsid w:val="AFAFEE48"/>
    <w:rsid w:val="AFFF77EE"/>
    <w:rsid w:val="BAE24D24"/>
    <w:rsid w:val="BBEF65B4"/>
    <w:rsid w:val="BEFE68A9"/>
    <w:rsid w:val="C7CFB344"/>
    <w:rsid w:val="D5DD2DAE"/>
    <w:rsid w:val="DF3DB268"/>
    <w:rsid w:val="DF72E596"/>
    <w:rsid w:val="E877A2E4"/>
    <w:rsid w:val="EBBBF9DD"/>
    <w:rsid w:val="EBD72A8C"/>
    <w:rsid w:val="EDEEB5EA"/>
    <w:rsid w:val="EF57CC49"/>
    <w:rsid w:val="F7B6F3FB"/>
    <w:rsid w:val="F7BEB564"/>
    <w:rsid w:val="F7FCD015"/>
    <w:rsid w:val="F94F0700"/>
    <w:rsid w:val="FAFB696D"/>
    <w:rsid w:val="FBDF8908"/>
    <w:rsid w:val="FBFB469D"/>
    <w:rsid w:val="FD3FAF25"/>
    <w:rsid w:val="FF9FEEAF"/>
    <w:rsid w:val="FFBF26EA"/>
    <w:rsid w:val="FFDB2A3C"/>
    <w:rsid w:val="FFE7FE6A"/>
    <w:rsid w:val="FFFEB31A"/>
    <w:rsid w:val="FFFFA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firstLine="640" w:firstLineChars="200"/>
    </w:pPr>
    <w:rPr>
      <w:rFonts w:ascii="仿宋_GB2312" w:eastAsia="仿宋_GB2312"/>
      <w:kern w:val="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paragraph" w:styleId="7">
    <w:name w:val="Body Text First Indent 2"/>
    <w:basedOn w:val="3"/>
    <w:next w:val="1"/>
    <w:qFormat/>
    <w:uiPriority w:val="0"/>
    <w:pPr>
      <w:ind w:firstLine="420" w:firstLineChars="200"/>
    </w:pPr>
    <w:rPr>
      <w:rFonts w:ascii="Times New Roman" w:hAnsi="Times New Roman" w:eastAsia="宋体" w:cs="Times New Roman"/>
    </w:rPr>
  </w:style>
  <w:style w:type="paragraph" w:customStyle="1" w:styleId="10">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11">
    <w:name w:val="List Paragraph"/>
    <w:basedOn w:val="1"/>
    <w:qFormat/>
    <w:uiPriority w:val="0"/>
    <w:pPr>
      <w:ind w:firstLine="420" w:firstLineChars="200"/>
    </w:pPr>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河源市纪委</Company>
  <Pages>6</Pages>
  <Words>2801</Words>
  <Characters>2982</Characters>
  <Lines>0</Lines>
  <Paragraphs>0</Paragraphs>
  <TotalTime>1</TotalTime>
  <ScaleCrop>false</ScaleCrop>
  <LinksUpToDate>false</LinksUpToDate>
  <CharactersWithSpaces>3055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2023-07-03T07:05:00Z</dcterms:created>
  <dc:creator>瑾</dc:creator>
  <cp:lastModifiedBy>瑾</cp:lastModifiedBy>
  <cp:lastPrinted>2023-10-30T11:30:00Z</cp:lastPrinted>
  <dcterms:modified xsi:type="dcterms:W3CDTF">2023-12-26T03:59:51Z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3CCF7A6E0175452091DF2C99133FC808_12</vt:lpwstr>
  </property>
</Properties>
</file>