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河源市城市管理领域执法“观察期”制度工作指引（试行）（征求意见稿）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的起草说明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为进一步优化营商环境，推进包容审慎监管，开展非强制性监管手段运用方面的探索实践，优化执法方式，提高执法效能，引导企业等市场主体主动纠正城市管理违法行为、自觉守法</w:t>
      </w:r>
      <w:r>
        <w:rPr>
          <w:rFonts w:hint="eastAsia" w:ascii="仿宋" w:hAnsi="仿宋" w:eastAsia="仿宋" w:cs="仿宋"/>
          <w:sz w:val="32"/>
          <w:szCs w:val="32"/>
        </w:rPr>
        <w:t>，根据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《中华人民共和国行政处罚法》《优化营商环境条例》《广东省人民政府办公厅关于推进包容审慎监管的指导意见》（粤府办〔2022〕7号）等</w:t>
      </w:r>
      <w:r>
        <w:rPr>
          <w:rFonts w:hint="eastAsia" w:ascii="仿宋" w:hAnsi="仿宋" w:eastAsia="仿宋" w:cs="仿宋"/>
          <w:sz w:val="32"/>
          <w:szCs w:val="32"/>
        </w:rPr>
        <w:t>相关规定，我局组织编制了《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河源市城市管理领域执法“观察期”制度工作指引（试行）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现就有关情况说明如下：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一、起草背景。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政策需求。为贯彻国家、省、市关于优化营商环境的决策部署，根据《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广东省人民政府办公厅关于推进包容审慎监管的指导意见》（粤府办〔2022〕7号）关于探索执法“观察期”制度要求，结合我市城市管理领域新经济、新业态快速发展实际，制定本工作指引。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现实需要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传统执法模式对“四新经济”（如共享单车、无人零售）适应不足，亟需建立柔性监管机制；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近三年城管执法领域首违轻微案件占比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较高</w:t>
      </w:r>
      <w:r>
        <w:rPr>
          <w:rFonts w:hint="eastAsia" w:ascii="仿宋" w:hAnsi="仿宋" w:eastAsia="仿宋" w:cs="仿宋"/>
          <w:sz w:val="32"/>
          <w:szCs w:val="32"/>
        </w:rPr>
        <w:t>，需提供合规整改通道；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等市场经营主体</w:t>
      </w:r>
      <w:r>
        <w:rPr>
          <w:rFonts w:hint="eastAsia" w:ascii="仿宋" w:hAnsi="仿宋" w:eastAsia="仿宋" w:cs="仿宋"/>
          <w:sz w:val="32"/>
          <w:szCs w:val="32"/>
        </w:rPr>
        <w:t>呼吁给予“纠错期”降低合规成本。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实践基础。近年来，广州、深圳、汕头、韶关、清远等地市陆续出台执法“观察期”工作指引，取得了良好成效，我局参考省内多个城市“观察期”制度经验，结合我市城管综合执法工作实际，探索城管执法领域“观察期”制度构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二、起草依据。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（一）《中华人民共和国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行政处罚</w:t>
      </w:r>
      <w:r>
        <w:rPr>
          <w:rFonts w:hint="eastAsia" w:ascii="仿宋" w:hAnsi="仿宋" w:eastAsia="仿宋" w:cs="仿宋"/>
          <w:sz w:val="32"/>
          <w:szCs w:val="32"/>
        </w:rPr>
        <w:t>法》（20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订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《优化营商环境条例》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《广东省人民政府办公厅关于推进包容审慎监管的指导意见》（粤府办〔2022〕7号）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《广东省进一步提高政府监管效能推动高质量发展实施方案》（粤府〔2023〕4号）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）其他相关文件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（一）适用范围：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经合法程序登记注册，未被有关部门列入失信名单的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新技术、新产业、新业态、新模式企业。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条件（需同时满足）：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主观非故意或重大过失，主动配合执法调查；涉及违反的城市管理秩序属中低风险领域，且可以通过整改消除影响；行为属首次违法，情节轻微，社会危害性较小。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（三）负面清单（禁止适用情形）：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4"/>
        <w:gridCol w:w="6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7" w:hRule="atLeast"/>
          <w:tblHeader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6600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sz w:val="32"/>
                <w:szCs w:val="32"/>
                <w:lang w:val="en-US" w:eastAsia="zh-CN"/>
              </w:rPr>
              <w:t>具体行为示例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64" w:type="dxa"/>
            <w:tcBorders>
              <w:lef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sz w:val="32"/>
                <w:szCs w:val="32"/>
                <w:lang w:val="en-US" w:eastAsia="zh-CN"/>
              </w:rPr>
              <w:t>公共安全</w:t>
            </w:r>
          </w:p>
        </w:tc>
        <w:tc>
          <w:tcPr>
            <w:tcW w:w="6600" w:type="dxa"/>
            <w:tcBorders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sz w:val="32"/>
                <w:szCs w:val="32"/>
                <w:lang w:val="en-US" w:eastAsia="zh-CN"/>
              </w:rPr>
              <w:t>违法建设、破坏燃气管道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等在城管执法领域具有区域性、系统性和安全性风险的行为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964" w:type="dxa"/>
            <w:tcBorders>
              <w:lef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sz w:val="32"/>
                <w:szCs w:val="32"/>
                <w:lang w:val="en-US" w:eastAsia="zh-CN"/>
              </w:rPr>
              <w:t>生命健康</w:t>
            </w:r>
          </w:p>
        </w:tc>
        <w:tc>
          <w:tcPr>
            <w:tcW w:w="6600" w:type="dxa"/>
            <w:tcBorders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户外</w:t>
            </w:r>
            <w:r>
              <w:rPr>
                <w:rFonts w:hint="default" w:ascii="宋体" w:hAnsi="宋体" w:eastAsia="方正仿宋_GBK" w:cs="方正仿宋_GBK"/>
                <w:sz w:val="32"/>
                <w:szCs w:val="32"/>
                <w:lang w:val="en-US" w:eastAsia="zh-CN"/>
              </w:rPr>
              <w:t>无证餐饮使用地沟油、露天焚烧医疗废物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等危害人民群众生命健康的行为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1964" w:type="dxa"/>
            <w:tcBorders>
              <w:lef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违法犯罪</w:t>
            </w:r>
          </w:p>
        </w:tc>
        <w:tc>
          <w:tcPr>
            <w:tcW w:w="6600" w:type="dxa"/>
            <w:tcBorders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涉嫌违法犯罪适用公安机关行政拘留或移送司法机关的行为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64" w:type="dxa"/>
            <w:tcBorders>
              <w:lef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主观恶意</w:t>
            </w:r>
          </w:p>
        </w:tc>
        <w:tc>
          <w:tcPr>
            <w:tcW w:w="6600" w:type="dxa"/>
            <w:tcBorders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多次违法、拒不改正、阻挠监督检查等行为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964" w:type="dxa"/>
            <w:tcBorders>
              <w:left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eastAsia="方正仿宋_GBK" w:cs="方正仿宋_GBK"/>
                <w:sz w:val="32"/>
                <w:szCs w:val="32"/>
                <w:lang w:val="en-US" w:eastAsia="zh-CN"/>
              </w:rPr>
              <w:t>法律明令禁止</w:t>
            </w:r>
          </w:p>
        </w:tc>
        <w:tc>
          <w:tcPr>
            <w:tcW w:w="6600" w:type="dxa"/>
            <w:tcBorders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燃气无证无照经营，</w:t>
            </w:r>
            <w:r>
              <w:rPr>
                <w:rFonts w:hint="default" w:ascii="宋体" w:hAnsi="宋体" w:eastAsia="方正仿宋_GBK" w:cs="方正仿宋_GBK"/>
                <w:sz w:val="32"/>
                <w:szCs w:val="32"/>
                <w:lang w:val="en-US" w:eastAsia="zh-CN"/>
              </w:rPr>
              <w:t>擅自挖掘城市道路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等法律明令禁止的行为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64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其他情形</w:t>
            </w:r>
          </w:p>
        </w:tc>
        <w:tc>
          <w:tcPr>
            <w:tcW w:w="660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其他不适宜适用执法“观察期”制度的情形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操作程序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lang w:bidi="ar-SA"/>
        </w:rPr>
      </w:pPr>
      <w:r>
        <w:rPr>
          <w:rFonts w:hint="eastAsia" w:ascii="宋体" w:hAnsi="宋体" w:eastAsia="方正楷体_GBK" w:cs="方正楷体_GBK"/>
          <w:color w:val="auto"/>
          <w:kern w:val="2"/>
          <w:sz w:val="32"/>
          <w:szCs w:val="32"/>
          <w:lang w:val="en-US" w:eastAsia="zh-CN" w:bidi="ar-SA"/>
        </w:rPr>
        <w:t>1.启动阶段:</w:t>
      </w: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lang w:bidi="ar-SA"/>
        </w:rPr>
        <w:t>原则上，案件调查部门应在立案后，审查</w:t>
      </w: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违法当事人</w:t>
      </w: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lang w:bidi="ar-SA"/>
        </w:rPr>
        <w:t>是否可适用执法观察期，认为可适用的，提出适用执法观察期的具体意见及责改决定的具体内容，按程序提交法制审核部门通过后，由分管执法的负责人或分管法制审核的负责人签发责改决定。明确告知</w:t>
      </w: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当事人</w:t>
      </w: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lang w:bidi="ar-SA"/>
        </w:rPr>
        <w:t>立即按要求改正违法行为、在执法观察期内完成整改的可依法不予处罚的法律后果。引导</w:t>
      </w: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当事人</w:t>
      </w: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lang w:bidi="ar-SA"/>
        </w:rPr>
        <w:t>配合柔性执法工作，主动纠正违法行为。责改决定给予整改期限的，以该期限为执法观察期限；给予观察期时限一般在十五至六十个自然日之间，特殊情况可由案件调查部门根据案件实际情况合理确定。案件调查部门采取说服教育、劝导示范、警示告诫、指导约谈等柔性执法方式的，应做好过程记录并附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lang w:bidi="ar-SA"/>
        </w:rPr>
      </w:pPr>
      <w:r>
        <w:rPr>
          <w:rFonts w:hint="eastAsia" w:ascii="宋体" w:hAnsi="宋体" w:eastAsia="方正楷体_GBK" w:cs="方正楷体_GBK"/>
          <w:color w:val="auto"/>
          <w:kern w:val="2"/>
          <w:sz w:val="32"/>
          <w:szCs w:val="32"/>
          <w:lang w:val="en-US" w:eastAsia="zh-CN" w:bidi="ar-SA"/>
        </w:rPr>
        <w:t>2.改正核实阶段:</w:t>
      </w: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lang w:bidi="ar-SA"/>
        </w:rPr>
        <w:t>案件调查部门发出责改决定后，应在确定的执法观察期内合理安排后续现场核查的时间和频次。</w:t>
      </w: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当事人</w:t>
      </w: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lang w:bidi="ar-SA"/>
        </w:rPr>
        <w:t>按照责改决定要求完成整改，并主动提交书面整改完成材料的，调查部门应当在收到材料之日起五个工作日内，现场调查核实其整改完成情况。</w:t>
      </w: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当事人</w:t>
      </w: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lang w:bidi="ar-SA"/>
        </w:rPr>
        <w:t>未在执法观察期内主动提交完成整改情况审查评估申请书</w:t>
      </w: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的</w:t>
      </w: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lang w:bidi="ar-SA"/>
        </w:rPr>
        <w:t>，调查部门应当在执法观察期截止之日起五个工作日内，现场核实其整改完成情况，并将有关核实情况形成证据附卷，一并移交案件法制审核部门后续审理。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lang w:bidi="ar-SA"/>
        </w:rPr>
      </w:pPr>
      <w:r>
        <w:rPr>
          <w:rFonts w:hint="eastAsia" w:ascii="宋体" w:hAnsi="宋体" w:eastAsia="方正楷体_GBK" w:cs="方正楷体_GBK"/>
          <w:sz w:val="32"/>
          <w:szCs w:val="32"/>
          <w:lang w:val="en-US" w:eastAsia="zh-CN"/>
        </w:rPr>
        <w:t>3.处罚建议及决定阶段:</w:t>
      </w: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lang w:bidi="ar-SA"/>
        </w:rPr>
        <w:t>案件调查部门应当梳理前期收集固定的违法行为证据材料、柔性执法材料、企业整改材料、整改核实材料等，根据</w:t>
      </w: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当事人收</w:t>
      </w: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lang w:bidi="ar-SA"/>
        </w:rPr>
        <w:t>到责改决定后是否按要求改正其违法行为、观察期内是否配合柔性执法、整改是否完成以及观察期内是否出现新的城市管理违法行为等情况，提出依法不予处罚、应予行政处罚以及给予何种程度的行政处罚的初步意见，并按程序提交案件法制审核部门审核或集体审议后作出最终决定。对</w:t>
      </w: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当事人</w:t>
      </w:r>
      <w:r>
        <w:rPr>
          <w:rFonts w:hint="eastAsia" w:ascii="宋体" w:hAnsi="宋体" w:eastAsia="方正仿宋_GBK" w:cs="方正仿宋_GBK"/>
          <w:i w:val="0"/>
          <w:caps w:val="0"/>
          <w:color w:val="auto"/>
          <w:spacing w:val="0"/>
          <w:kern w:val="2"/>
          <w:sz w:val="32"/>
          <w:szCs w:val="32"/>
          <w:lang w:bidi="ar-SA"/>
        </w:rPr>
        <w:t>无正当理由而未能立即按要求改正违法行为，或者拒不配合柔性执法工作，或者在观察期内未能完成整改，或者未能减少或消除违法行为的危害后果，或者在观察期内出现新的违法行为的，应当依法予以行政处罚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Theme="minorEastAsia"/>
          <w:lang w:val="en-US" w:eastAsia="zh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"/>
        </w:rPr>
      </w:pPr>
      <w:r>
        <w:rPr>
          <w:sz w:val="32"/>
        </w:rPr>
        <mc:AlternateContent>
          <mc:Choice Requires="wpc">
            <w:drawing>
              <wp:inline distT="0" distB="0" distL="114300" distR="114300">
                <wp:extent cx="5342890" cy="3112135"/>
                <wp:effectExtent l="0" t="0" r="0" b="0"/>
                <wp:docPr id="5" name="画布 5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45.05pt;width:420.7pt;" coordsize="5342890,3112135" editas="canvas" o:gfxdata="UEsFBgAAAAAAAAAAAAAAAAAAAAAAAFBLAwQKAAAAAACHTuJAAAAAAAAAAAAAAAAABAAAAGRycy9Q&#10;SwMEFAAAAAgAh07iQNWk1MvXAAAABQEAAA8AAABkcnMvZG93bnJldi54bWxNj0FLw0AQhe+C/2EZ&#10;wYu0u5EgNc2kh4JYRCim2vM2OybB7Gya3Sb137t6qZeBx3u8902+OttOjDT41jFCMlcgiCtnWq4R&#10;3ndPswUIHzQb3TkmhG/ysCqur3KdGTfxG41lqEUsYZ9phCaEPpPSVw1Z7eeuJ47epxusDlEOtTSD&#10;nmK57eS9Ug/S6pbjQqN7WjdUfZUnizBV23G/e32W27v9xvFxc1yXHy+ItzeJWoIIdA6XMPziR3Qo&#10;ItPBndh40SHER8Lfjd4iTVIQB4T0USUgi1z+py9+AFBLAwQUAAAACACHTuJAFCXuN2ABAADBAgAA&#10;DgAAAGRycy9lMm9Eb2MueG1snVJLTsMwEN0jcQfLe+okpQiiJN0UuoNKwAGMYyeR4o9st0nXXIHD&#10;IHEexDWYuCWq2gVSN2PPjP383htn8162aMOta7TKcTyJMOKK6bJRVY5fXx6ubjFynqqStlrxHG+5&#10;w/Pi8iLrTMoTXeu25BYBiHJpZ3Jce29SQhyruaRuog1X0BTaSuohtRUpLe0AXbYkiaIb0mlbGqsZ&#10;dw6qi10TFwFfCM78kxCOe9TmGLj5EG2Ib0MkRUbTylJTN2xPg57BQtJGwaMj1IJ6ita2OYGSDbPa&#10;aeEnTEuihWgYDxpATRwdqVlavTZBS5V2lRltAmuPfDoblj1uVhY1ZY5nGCkqYUQ/H1/fn+9oNnjT&#10;mSqFI0trns3K7gvVLhvk9sLKYQUhqA+ubkdXee8Rg+Jsep3c3oH5DHrTOE7iacCmKathOCf3WH3/&#10;z03y9zAZ+I10QgY+FRkc2M90GMRhDvvDn1f8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BYAAABkcnMvUEsBAhQAFAAAAAgAh07iQNWk1MvX&#10;AAAABQEAAA8AAAAAAAAAAQAgAAAAOAAAAGRycy9kb3ducmV2LnhtbFBLAQIUABQAAAAIAIdO4kAU&#10;Je43YAEAAMECAAAOAAAAAAAAAAEAIAAAADwBAABkcnMvZTJvRG9jLnhtbFBLBQYAAAAABgAGAFkB&#10;AAAOBQAAAAA=&#10;">
                <o:lock v:ext="edit" aspectratio="f"/>
                <v:shape id="_x0000_s1026" o:spid="_x0000_s1026" style="position:absolute;left:0;top:0;height:3112135;width:5342890;" filled="f" stroked="f" coordsize="21600,21600" o:gfxdata="UEsFBgAAAAAAAAAAAAAAAAAAAAAAAFBLAwQKAAAAAACHTuJAAAAAAAAAAAAAAAAABAAAAGRycy9Q&#10;SwMEFAAAAAgAh07iQNWk1MvXAAAABQEAAA8AAABkcnMvZG93bnJldi54bWxNj0FLw0AQhe+C/2EZ&#10;wYu0u5EgNc2kh4JYRCim2vM2OybB7Gya3Sb137t6qZeBx3u8902+OttOjDT41jFCMlcgiCtnWq4R&#10;3ndPswUIHzQb3TkmhG/ysCqur3KdGTfxG41lqEUsYZ9phCaEPpPSVw1Z7eeuJ47epxusDlEOtTSD&#10;nmK57eS9Ug/S6pbjQqN7WjdUfZUnizBV23G/e32W27v9xvFxc1yXHy+ItzeJWoIIdA6XMPziR3Qo&#10;ItPBndh40SHER8Lfjd4iTVIQB4T0USUgi1z+py9+AFBLAwQUAAAACACHTuJA7fXO/PoAAAAIAgAA&#10;DgAAAGRycy9lMm9Eb2MueG1srZG/TsQwDMZ3JN4hyk7TuwGh6tobOLGywAP4UqeN1MRRHK7w9pjw&#10;HzbEYtlx9PP32bv9Y1jUCTN7ir3eNK1WGC2NPk69vr+7ubjSigvEERaK2OsnZL0fzs92a+pwSzMt&#10;I2YlkMjdmno9l5I6Y9jOGIAbShil6SgHKFLmyYwZVqGHxWzb9tKslMeUySKzvB5em3qofOfQllvn&#10;GItaei3aSo25xuNLNMMOuilDmr19kwF/UBHARxn6gTpAAfWQ/S9U8DYTkyuNpWDIOW+xehA3m/aH&#10;m2uIJ+Bqxsp23gVK9o/c4yQ7EGS3yjFQclOLZCX75udrXX99HnB4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ADAABbQ29udGVudF9UeXBlc10u&#10;eG1sUEsBAhQACgAAAAAAh07iQAAAAAAAAAAAAAAAAAYAAAAAAAAAAAAQAAAAYgIAAF9yZWxzL1BL&#10;AQIUABQAAAAIAIdO4kCKFGY80QAAAJQBAAALAAAAAAAAAAEAIAAAAIYCAABfcmVscy8ucmVsc1BL&#10;AQIUAAoAAAAAAIdO4kAAAAAAAAAAAAAAAAAEAAAAAAAAAAAAEAAAABYAAABkcnMvUEsBAhQAFAAA&#10;AAgAh07iQNWk1MvXAAAABQEAAA8AAAAAAAAAAQAgAAAAOAAAAGRycy9kb3ducmV2LnhtbFBLAQIU&#10;ABQAAAAIAIdO4kDt9c78+gAAAAgCAAAOAAAAAAAAAAEAIAAAADwBAABkcnMvZTJvRG9jLnhtbFBL&#10;BQYAAAAABgAGAFkBAACoBAAAAAA=&#10;">
                  <v:fill on="f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746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E65299"/>
    <w:multiLevelType w:val="singleLevel"/>
    <w:tmpl w:val="B7E6529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95730"/>
    <w:rsid w:val="08C05766"/>
    <w:rsid w:val="135B32C8"/>
    <w:rsid w:val="15A7044B"/>
    <w:rsid w:val="1C7804E1"/>
    <w:rsid w:val="1FFFA62A"/>
    <w:rsid w:val="240701BC"/>
    <w:rsid w:val="2EAC3AF3"/>
    <w:rsid w:val="3BFE0778"/>
    <w:rsid w:val="3CBD7D72"/>
    <w:rsid w:val="50986187"/>
    <w:rsid w:val="5FF3F758"/>
    <w:rsid w:val="63BB0824"/>
    <w:rsid w:val="71124C71"/>
    <w:rsid w:val="75570B02"/>
    <w:rsid w:val="76595730"/>
    <w:rsid w:val="7DF543A6"/>
    <w:rsid w:val="7F7D58EC"/>
    <w:rsid w:val="ABBF75D2"/>
    <w:rsid w:val="AF5BB4C1"/>
    <w:rsid w:val="C7DFE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="0" w:afterAutospacing="1"/>
    </w:pPr>
    <w:rPr>
      <w:rFonts w:cs="Times New Roman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河源市城管综合执法局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2024-11-09T07:37:00Z</dcterms:created>
  <dc:creator>张创新</dc:creator>
  <cp:lastModifiedBy>肖征琛</cp:lastModifiedBy>
  <cp:lastPrinted>2025-07-10T09:39:00Z</cp:lastPrinted>
  <dcterms:modified xsi:type="dcterms:W3CDTF">2025-07-15T14:51:25Z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4F425A4B356D46A09AC0FDE144EC1037</vt:lpwstr>
  </property>
</Properties>
</file>