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河源市医疗机构设置规划(2021-2025年</w:t>
      </w:r>
      <w:r>
        <w:rPr>
          <w:rFonts w:hint="eastAsia" w:ascii="方正小标宋简体" w:hAnsi="方正小标宋简体" w:eastAsia="方正小标宋简体" w:cs="方正小标宋简体"/>
          <w:b w:val="0"/>
          <w:bCs w:val="0"/>
          <w:sz w:val="44"/>
          <w:szCs w:val="44"/>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（征求意见稿）</w:t>
      </w:r>
    </w:p>
    <w:p>
      <w:pPr>
        <w:pStyle w:val="2"/>
        <w:keepNext w:val="0"/>
        <w:keepLines w:val="0"/>
        <w:pageBreakBefore w:val="0"/>
        <w:widowControl w:val="0"/>
        <w:kinsoku/>
        <w:wordWrap/>
        <w:overflowPunct/>
        <w:topLinePunct w:val="0"/>
        <w:autoSpaceDE/>
        <w:autoSpaceDN/>
        <w:bidi w:val="0"/>
        <w:adjustRightInd/>
        <w:snapToGrid w:val="0"/>
        <w:spacing w:before="0" w:line="600" w:lineRule="exact"/>
        <w:ind w:left="0" w:leftChars="0" w:right="617" w:firstLine="0" w:firstLineChars="0"/>
        <w:jc w:val="both"/>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为充分发挥政府宏观调控和市场配置资源的作用，进一步优化全市卫生健康资源配置，</w:t>
      </w:r>
      <w:r>
        <w:rPr>
          <w:rFonts w:hint="eastAsia" w:ascii="仿宋_GB2312" w:hAnsi="仿宋_GB2312" w:eastAsia="仿宋_GB2312" w:cs="仿宋_GB2312"/>
          <w:sz w:val="32"/>
          <w:szCs w:val="32"/>
        </w:rPr>
        <w:t>推动我市“十四五”时期卫生健康事业高质量发展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基本医疗卫生与健康促进法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《医疗机构管理条例》、《国家卫健委关于印发医疗机构设置规划指导原则（2021-2025年）的通知》(国卫医发〔2022〕3号)和</w:t>
      </w:r>
      <w:r>
        <w:rPr>
          <w:rFonts w:hint="eastAsia" w:ascii="仿宋_GB2312" w:hAnsi="仿宋_GB2312" w:eastAsia="仿宋_GB2312" w:cs="仿宋_GB2312"/>
          <w:sz w:val="32"/>
          <w:szCs w:val="32"/>
          <w:lang w:eastAsia="zh-CN"/>
        </w:rPr>
        <w:t>《河源市人民政府</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关于印发河源市卫生健康事业发展“十四五”规划的通知》（河府〔2023〕20号）</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结合本市实际，</w:t>
      </w:r>
      <w:r>
        <w:rPr>
          <w:rFonts w:hint="eastAsia" w:ascii="仿宋_GB2312" w:hAnsi="仿宋_GB2312" w:eastAsia="仿宋_GB2312" w:cs="仿宋_GB2312"/>
          <w:sz w:val="32"/>
          <w:szCs w:val="32"/>
        </w:rPr>
        <w:t>制</w:t>
      </w:r>
      <w:r>
        <w:rPr>
          <w:rFonts w:hint="eastAsia" w:ascii="仿宋_GB2312" w:hAnsi="仿宋_GB2312" w:eastAsia="仿宋_GB2312" w:cs="仿宋_GB2312"/>
          <w:sz w:val="32"/>
          <w:szCs w:val="32"/>
          <w:lang w:eastAsia="zh-CN"/>
        </w:rPr>
        <w:t>定</w:t>
      </w:r>
      <w:r>
        <w:rPr>
          <w:rFonts w:hint="eastAsia" w:ascii="仿宋_GB2312" w:hAnsi="仿宋_GB2312" w:eastAsia="仿宋_GB2312" w:cs="仿宋_GB2312"/>
          <w:sz w:val="32"/>
          <w:szCs w:val="32"/>
        </w:rPr>
        <w:t>本规划。</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指导思想</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以习近平新时代中国特色社会主义思想为指导，全面贯彻党的二十大精神，深入贯彻习近平总书记对广东系列重要讲话和重要指示精神，紧紧围绕新时期</w:t>
      </w:r>
      <w:r>
        <w:rPr>
          <w:rFonts w:hint="eastAsia" w:ascii="仿宋_GB2312" w:hAnsi="仿宋_GB2312" w:eastAsia="仿宋_GB2312" w:cs="仿宋_GB2312"/>
          <w:sz w:val="32"/>
          <w:szCs w:val="32"/>
          <w:lang w:eastAsia="zh-CN"/>
        </w:rPr>
        <w:t>卫生健康工作方针，坚持以人民健康为中心，</w:t>
      </w:r>
      <w:r>
        <w:rPr>
          <w:rFonts w:hint="eastAsia" w:ascii="仿宋_GB2312" w:hAnsi="仿宋_GB2312" w:eastAsia="仿宋_GB2312" w:cs="仿宋_GB2312"/>
          <w:sz w:val="32"/>
          <w:szCs w:val="32"/>
          <w:lang w:val="en-US" w:eastAsia="zh-CN"/>
        </w:rPr>
        <w:t>高质量推进健康河源建设,不断健全医疗卫生服务体系，构建强大的公共卫生体系，持续深化医药卫生体制改革，促进全民健身与全民健康融合发展，进一步提升城乡居民健康水平，为建设幸福和谐美丽河源提供坚实的健康基础保障。</w:t>
      </w:r>
    </w:p>
    <w:p>
      <w:pPr>
        <w:numPr>
          <w:ilvl w:val="0"/>
          <w:numId w:val="0"/>
        </w:num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二、主要指标</w:t>
      </w:r>
    </w:p>
    <w:p>
      <w:pPr>
        <w:numPr>
          <w:ilvl w:val="0"/>
          <w:numId w:val="0"/>
        </w:num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河源市医疗机构设置规划主要指标（2021-2025年）</w:t>
      </w:r>
    </w:p>
    <w:tbl>
      <w:tblPr>
        <w:tblStyle w:val="6"/>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9"/>
        <w:gridCol w:w="4256"/>
        <w:gridCol w:w="725"/>
        <w:gridCol w:w="950"/>
        <w:gridCol w:w="1025"/>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9" w:hRule="exact"/>
          <w:jc w:val="center"/>
        </w:trPr>
        <w:tc>
          <w:tcPr>
            <w:tcW w:w="739" w:type="dxa"/>
            <w:tcMar>
              <w:left w:w="108" w:type="dxa"/>
              <w:right w:w="108" w:type="dxa"/>
            </w:tcMar>
            <w:vAlign w:val="center"/>
          </w:tcPr>
          <w:p>
            <w:pPr>
              <w:pStyle w:val="5"/>
              <w:keepNext w:val="0"/>
              <w:keepLines w:val="0"/>
              <w:pageBreakBefore w:val="0"/>
              <w:widowControl w:val="0"/>
              <w:kinsoku/>
              <w:wordWrap/>
              <w:overflowPunct/>
              <w:topLinePunct w:val="0"/>
              <w:autoSpaceDE/>
              <w:autoSpaceDN/>
              <w:bidi w:val="0"/>
              <w:snapToGrid w:val="0"/>
              <w:spacing w:before="0" w:beforeLines="0" w:beforeAutospacing="0" w:after="0" w:afterLines="0" w:afterAutospacing="0" w:line="600" w:lineRule="exact"/>
              <w:ind w:right="0" w:rightChars="0"/>
              <w:jc w:val="both"/>
              <w:textAlignment w:val="auto"/>
              <w:rPr>
                <w:rFonts w:hint="eastAsia" w:ascii="仿宋_GB2312" w:hAnsi="仿宋_GB2312" w:eastAsia="仿宋_GB2312" w:cs="仿宋_GB2312"/>
                <w:b/>
                <w:bCs/>
                <w:color w:val="000000" w:themeColor="text1"/>
                <w:sz w:val="21"/>
                <w:szCs w:val="21"/>
                <w:shd w:val="clear" w:color="auto" w:fill="auto"/>
                <w14:textFill>
                  <w14:solidFill>
                    <w14:schemeClr w14:val="tx1"/>
                  </w14:solidFill>
                </w14:textFill>
              </w:rPr>
            </w:pPr>
            <w:r>
              <w:rPr>
                <w:rFonts w:hint="eastAsia" w:ascii="仿宋_GB2312" w:hAnsi="仿宋_GB2312" w:eastAsia="仿宋_GB2312" w:cs="仿宋_GB2312"/>
                <w:b/>
                <w:bCs/>
                <w:color w:val="000000" w:themeColor="text1"/>
                <w:sz w:val="21"/>
                <w:szCs w:val="21"/>
                <w:shd w:val="clear" w:color="auto" w:fill="auto"/>
                <w14:textFill>
                  <w14:solidFill>
                    <w14:schemeClr w14:val="tx1"/>
                  </w14:solidFill>
                </w14:textFill>
              </w:rPr>
              <w:t>领域</w:t>
            </w:r>
          </w:p>
        </w:tc>
        <w:tc>
          <w:tcPr>
            <w:tcW w:w="4256" w:type="dxa"/>
            <w:tcMar>
              <w:left w:w="108" w:type="dxa"/>
              <w:right w:w="108" w:type="dxa"/>
            </w:tcMar>
            <w:vAlign w:val="center"/>
          </w:tcPr>
          <w:p>
            <w:pPr>
              <w:pStyle w:val="5"/>
              <w:keepNext w:val="0"/>
              <w:keepLines w:val="0"/>
              <w:pageBreakBefore w:val="0"/>
              <w:widowControl w:val="0"/>
              <w:kinsoku/>
              <w:wordWrap/>
              <w:overflowPunct/>
              <w:topLinePunct w:val="0"/>
              <w:autoSpaceDE/>
              <w:autoSpaceDN/>
              <w:bidi w:val="0"/>
              <w:snapToGrid w:val="0"/>
              <w:spacing w:before="0" w:beforeLines="0" w:beforeAutospacing="0" w:after="0" w:afterLines="0" w:afterAutospacing="0" w:line="600" w:lineRule="exact"/>
              <w:ind w:left="0" w:leftChars="0" w:right="0" w:rightChars="0" w:firstLine="422" w:firstLineChars="200"/>
              <w:jc w:val="center"/>
              <w:textAlignment w:val="auto"/>
              <w:rPr>
                <w:rFonts w:hint="eastAsia" w:ascii="仿宋_GB2312" w:hAnsi="仿宋_GB2312" w:eastAsia="仿宋_GB2312" w:cs="仿宋_GB2312"/>
                <w:b/>
                <w:bCs/>
                <w:color w:val="000000" w:themeColor="text1"/>
                <w:sz w:val="21"/>
                <w:szCs w:val="21"/>
                <w:shd w:val="clear" w:color="auto" w:fill="auto"/>
                <w14:textFill>
                  <w14:solidFill>
                    <w14:schemeClr w14:val="tx1"/>
                  </w14:solidFill>
                </w14:textFill>
              </w:rPr>
            </w:pPr>
            <w:r>
              <w:rPr>
                <w:rFonts w:hint="eastAsia" w:ascii="仿宋_GB2312" w:hAnsi="仿宋_GB2312" w:eastAsia="仿宋_GB2312" w:cs="仿宋_GB2312"/>
                <w:b/>
                <w:bCs/>
                <w:color w:val="000000" w:themeColor="text1"/>
                <w:sz w:val="21"/>
                <w:szCs w:val="21"/>
                <w:shd w:val="clear" w:color="auto" w:fill="auto"/>
                <w14:textFill>
                  <w14:solidFill>
                    <w14:schemeClr w14:val="tx1"/>
                  </w14:solidFill>
                </w14:textFill>
              </w:rPr>
              <w:t>主要指标</w:t>
            </w:r>
          </w:p>
        </w:tc>
        <w:tc>
          <w:tcPr>
            <w:tcW w:w="725" w:type="dxa"/>
            <w:tcMar>
              <w:left w:w="108" w:type="dxa"/>
              <w:right w:w="108" w:type="dxa"/>
            </w:tcMar>
            <w:vAlign w:val="center"/>
          </w:tcPr>
          <w:p>
            <w:pPr>
              <w:pStyle w:val="5"/>
              <w:keepNext w:val="0"/>
              <w:keepLines w:val="0"/>
              <w:pageBreakBefore w:val="0"/>
              <w:widowControl w:val="0"/>
              <w:kinsoku/>
              <w:wordWrap/>
              <w:overflowPunct/>
              <w:topLinePunct w:val="0"/>
              <w:autoSpaceDE/>
              <w:autoSpaceDN/>
              <w:bidi w:val="0"/>
              <w:snapToGrid w:val="0"/>
              <w:spacing w:before="0" w:beforeLines="0" w:beforeAutospacing="0" w:after="0" w:afterLines="0" w:afterAutospacing="0" w:line="600" w:lineRule="exact"/>
              <w:ind w:right="0" w:rightChars="0"/>
              <w:jc w:val="center"/>
              <w:textAlignment w:val="auto"/>
              <w:rPr>
                <w:rFonts w:hint="eastAsia" w:ascii="仿宋_GB2312" w:hAnsi="仿宋_GB2312" w:eastAsia="仿宋_GB2312" w:cs="仿宋_GB2312"/>
                <w:b/>
                <w:bCs/>
                <w:color w:val="000000" w:themeColor="text1"/>
                <w:sz w:val="21"/>
                <w:szCs w:val="21"/>
                <w:shd w:val="clear" w:color="auto" w:fill="auto"/>
                <w14:textFill>
                  <w14:solidFill>
                    <w14:schemeClr w14:val="tx1"/>
                  </w14:solidFill>
                </w14:textFill>
              </w:rPr>
            </w:pPr>
            <w:r>
              <w:rPr>
                <w:rFonts w:hint="eastAsia" w:ascii="仿宋_GB2312" w:hAnsi="仿宋_GB2312" w:eastAsia="仿宋_GB2312" w:cs="仿宋_GB2312"/>
                <w:b/>
                <w:bCs/>
                <w:color w:val="000000" w:themeColor="text1"/>
                <w:sz w:val="21"/>
                <w:szCs w:val="21"/>
                <w14:textFill>
                  <w14:solidFill>
                    <w14:schemeClr w14:val="tx1"/>
                  </w14:solidFill>
                </w14:textFill>
              </w:rPr>
              <w:t>单位</w:t>
            </w:r>
          </w:p>
        </w:tc>
        <w:tc>
          <w:tcPr>
            <w:tcW w:w="950" w:type="dxa"/>
            <w:tcMar>
              <w:left w:w="108" w:type="dxa"/>
              <w:right w:w="108" w:type="dxa"/>
            </w:tcMar>
            <w:vAlign w:val="center"/>
          </w:tcPr>
          <w:p>
            <w:pPr>
              <w:pStyle w:val="5"/>
              <w:keepNext w:val="0"/>
              <w:keepLines w:val="0"/>
              <w:pageBreakBefore w:val="0"/>
              <w:widowControl w:val="0"/>
              <w:kinsoku/>
              <w:wordWrap/>
              <w:overflowPunct/>
              <w:topLinePunct w:val="0"/>
              <w:autoSpaceDE/>
              <w:autoSpaceDN/>
              <w:bidi w:val="0"/>
              <w:snapToGrid w:val="0"/>
              <w:spacing w:before="0" w:beforeLines="0" w:beforeAutospacing="0" w:after="0" w:afterLines="0" w:afterAutospacing="0" w:line="600" w:lineRule="exact"/>
              <w:ind w:right="0" w:rightChars="0"/>
              <w:jc w:val="center"/>
              <w:textAlignment w:val="auto"/>
              <w:rPr>
                <w:rFonts w:hint="eastAsia" w:ascii="仿宋_GB2312" w:hAnsi="仿宋_GB2312" w:eastAsia="仿宋_GB2312" w:cs="仿宋_GB2312"/>
                <w:b/>
                <w:bCs/>
                <w:color w:val="000000" w:themeColor="text1"/>
                <w:sz w:val="21"/>
                <w:szCs w:val="21"/>
                <w:shd w:val="clear" w:color="auto" w:fill="auto"/>
                <w14:textFill>
                  <w14:solidFill>
                    <w14:schemeClr w14:val="tx1"/>
                  </w14:solidFill>
                </w14:textFill>
              </w:rPr>
            </w:pPr>
            <w:r>
              <w:rPr>
                <w:rFonts w:hint="eastAsia" w:ascii="仿宋_GB2312" w:hAnsi="仿宋_GB2312" w:eastAsia="仿宋_GB2312" w:cs="仿宋_GB2312"/>
                <w:b/>
                <w:bCs/>
                <w:color w:val="000000" w:themeColor="text1"/>
                <w:sz w:val="21"/>
                <w:szCs w:val="21"/>
                <w:shd w:val="clear" w:color="auto" w:fill="auto"/>
                <w14:textFill>
                  <w14:solidFill>
                    <w14:schemeClr w14:val="tx1"/>
                  </w14:solidFill>
                </w14:textFill>
              </w:rPr>
              <w:t>2020年</w:t>
            </w:r>
          </w:p>
        </w:tc>
        <w:tc>
          <w:tcPr>
            <w:tcW w:w="1025" w:type="dxa"/>
            <w:tcMar>
              <w:left w:w="108" w:type="dxa"/>
              <w:right w:w="108" w:type="dxa"/>
            </w:tcMar>
            <w:vAlign w:val="center"/>
          </w:tcPr>
          <w:p>
            <w:pPr>
              <w:pStyle w:val="5"/>
              <w:keepNext w:val="0"/>
              <w:keepLines w:val="0"/>
              <w:pageBreakBefore w:val="0"/>
              <w:widowControl w:val="0"/>
              <w:kinsoku/>
              <w:wordWrap/>
              <w:overflowPunct/>
              <w:topLinePunct w:val="0"/>
              <w:autoSpaceDE/>
              <w:autoSpaceDN/>
              <w:bidi w:val="0"/>
              <w:snapToGrid w:val="0"/>
              <w:spacing w:before="0" w:beforeLines="0" w:beforeAutospacing="0" w:after="0" w:afterLines="0" w:afterAutospacing="0" w:line="600" w:lineRule="exact"/>
              <w:ind w:right="0" w:rightChars="0"/>
              <w:jc w:val="center"/>
              <w:textAlignment w:val="auto"/>
              <w:rPr>
                <w:rFonts w:hint="eastAsia" w:ascii="仿宋_GB2312" w:hAnsi="仿宋_GB2312" w:eastAsia="仿宋_GB2312" w:cs="仿宋_GB2312"/>
                <w:b/>
                <w:bCs/>
                <w:color w:val="000000" w:themeColor="text1"/>
                <w:sz w:val="21"/>
                <w:szCs w:val="21"/>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21"/>
                <w:shd w:val="clear" w:color="auto" w:fill="auto"/>
                <w14:textFill>
                  <w14:solidFill>
                    <w14:schemeClr w14:val="tx1"/>
                  </w14:solidFill>
                </w14:textFill>
              </w:rPr>
              <w:t>2025年</w:t>
            </w:r>
          </w:p>
        </w:tc>
        <w:tc>
          <w:tcPr>
            <w:tcW w:w="863" w:type="dxa"/>
            <w:tcMar>
              <w:left w:w="108" w:type="dxa"/>
              <w:right w:w="108" w:type="dxa"/>
            </w:tcMar>
            <w:vAlign w:val="center"/>
          </w:tcPr>
          <w:p>
            <w:pPr>
              <w:pStyle w:val="5"/>
              <w:keepNext w:val="0"/>
              <w:keepLines w:val="0"/>
              <w:pageBreakBefore w:val="0"/>
              <w:widowControl w:val="0"/>
              <w:kinsoku/>
              <w:wordWrap/>
              <w:overflowPunct/>
              <w:topLinePunct w:val="0"/>
              <w:autoSpaceDE/>
              <w:autoSpaceDN/>
              <w:bidi w:val="0"/>
              <w:snapToGrid w:val="0"/>
              <w:spacing w:before="0" w:beforeLines="0" w:beforeAutospacing="0" w:after="0" w:afterLines="0" w:afterAutospacing="0" w:line="600" w:lineRule="exact"/>
              <w:ind w:right="0" w:rightChars="0"/>
              <w:jc w:val="center"/>
              <w:textAlignment w:val="auto"/>
              <w:rPr>
                <w:rFonts w:hint="eastAsia" w:ascii="仿宋_GB2312" w:hAnsi="仿宋_GB2312" w:eastAsia="仿宋_GB2312" w:cs="仿宋_GB2312"/>
                <w:b/>
                <w:bCs/>
                <w:color w:val="000000" w:themeColor="text1"/>
                <w:sz w:val="21"/>
                <w:szCs w:val="21"/>
                <w:shd w:val="clear" w:color="auto" w:fill="auto"/>
                <w14:textFill>
                  <w14:solidFill>
                    <w14:schemeClr w14:val="tx1"/>
                  </w14:solidFill>
                </w14:textFill>
              </w:rPr>
            </w:pPr>
            <w:r>
              <w:rPr>
                <w:rFonts w:hint="eastAsia" w:ascii="仿宋_GB2312" w:hAnsi="仿宋_GB2312" w:eastAsia="仿宋_GB2312" w:cs="仿宋_GB2312"/>
                <w:b/>
                <w:bCs/>
                <w:color w:val="000000" w:themeColor="text1"/>
                <w:sz w:val="21"/>
                <w:szCs w:val="21"/>
                <w:shd w:val="clear" w:color="auto" w:fill="auto"/>
                <w14:textFill>
                  <w14:solidFill>
                    <w14:schemeClr w14:val="tx1"/>
                  </w14:solidFill>
                </w14:textFill>
              </w:rPr>
              <w:t>指标</w:t>
            </w:r>
          </w:p>
          <w:p>
            <w:pPr>
              <w:pStyle w:val="5"/>
              <w:keepNext w:val="0"/>
              <w:keepLines w:val="0"/>
              <w:pageBreakBefore w:val="0"/>
              <w:widowControl w:val="0"/>
              <w:kinsoku/>
              <w:wordWrap/>
              <w:overflowPunct/>
              <w:topLinePunct w:val="0"/>
              <w:autoSpaceDE/>
              <w:autoSpaceDN/>
              <w:bidi w:val="0"/>
              <w:snapToGrid w:val="0"/>
              <w:spacing w:before="0" w:beforeLines="0" w:beforeAutospacing="0" w:after="0" w:afterLines="0" w:afterAutospacing="0" w:line="600" w:lineRule="exact"/>
              <w:ind w:right="0" w:rightChars="0"/>
              <w:jc w:val="center"/>
              <w:textAlignment w:val="auto"/>
              <w:rPr>
                <w:rFonts w:hint="eastAsia" w:ascii="仿宋_GB2312" w:hAnsi="仿宋_GB2312" w:eastAsia="仿宋_GB2312" w:cs="仿宋_GB2312"/>
                <w:b/>
                <w:bCs/>
                <w:color w:val="000000" w:themeColor="text1"/>
                <w:sz w:val="21"/>
                <w:szCs w:val="21"/>
                <w:shd w:val="clear" w:color="auto" w:fill="auto"/>
                <w14:textFill>
                  <w14:solidFill>
                    <w14:schemeClr w14:val="tx1"/>
                  </w14:solidFill>
                </w14:textFill>
              </w:rPr>
            </w:pPr>
            <w:r>
              <w:rPr>
                <w:rFonts w:hint="eastAsia" w:ascii="仿宋_GB2312" w:hAnsi="仿宋_GB2312" w:eastAsia="仿宋_GB2312" w:cs="仿宋_GB2312"/>
                <w:b/>
                <w:bCs/>
                <w:color w:val="000000" w:themeColor="text1"/>
                <w:sz w:val="21"/>
                <w:szCs w:val="21"/>
                <w:shd w:val="clear" w:color="auto" w:fill="auto"/>
                <w14:textFill>
                  <w14:solidFill>
                    <w14:schemeClr w14:val="tx1"/>
                  </w14:solidFill>
                </w14:textFill>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9" w:type="dxa"/>
            <w:vMerge w:val="restart"/>
            <w:tcMar>
              <w:left w:w="108" w:type="dxa"/>
              <w:right w:w="108" w:type="dxa"/>
            </w:tcMar>
            <w:vAlign w:val="center"/>
          </w:tcPr>
          <w:p>
            <w:pPr>
              <w:keepNext w:val="0"/>
              <w:keepLines w:val="0"/>
              <w:pageBreakBefore w:val="0"/>
              <w:widowControl w:val="0"/>
              <w:kinsoku/>
              <w:wordWrap/>
              <w:overflowPunct/>
              <w:topLinePunct w:val="0"/>
              <w:autoSpaceDE/>
              <w:autoSpaceDN/>
              <w:bidi w:val="0"/>
              <w:snapToGrid w:val="0"/>
              <w:spacing w:beforeAutospacing="0" w:afterAutospacing="0" w:line="600" w:lineRule="exact"/>
              <w:ind w:right="0" w:rightChars="0"/>
              <w:jc w:val="both"/>
              <w:textAlignment w:val="auto"/>
              <w:rPr>
                <w:rFonts w:hint="eastAsia" w:ascii="仿宋_GB2312" w:hAnsi="仿宋_GB2312" w:eastAsia="仿宋_GB2312" w:cs="仿宋_GB2312"/>
                <w:b/>
                <w:bCs/>
                <w:color w:val="000000" w:themeColor="text1"/>
                <w:sz w:val="21"/>
                <w:szCs w:val="21"/>
                <w:shd w:val="clear" w:color="auto" w:fill="auto"/>
                <w14:textFill>
                  <w14:solidFill>
                    <w14:schemeClr w14:val="tx1"/>
                  </w14:solidFill>
                </w14:textFill>
              </w:rPr>
            </w:pPr>
            <w:r>
              <w:rPr>
                <w:rFonts w:hint="eastAsia" w:ascii="仿宋_GB2312" w:hAnsi="仿宋_GB2312" w:eastAsia="仿宋_GB2312" w:cs="仿宋_GB2312"/>
                <w:b/>
                <w:bCs/>
                <w:color w:val="000000" w:themeColor="text1"/>
                <w:sz w:val="21"/>
                <w:szCs w:val="21"/>
                <w:shd w:val="clear" w:color="auto" w:fill="auto"/>
                <w14:textFill>
                  <w14:solidFill>
                    <w14:schemeClr w14:val="tx1"/>
                  </w14:solidFill>
                </w14:textFill>
              </w:rPr>
              <w:t>健康</w:t>
            </w:r>
          </w:p>
          <w:p>
            <w:pPr>
              <w:keepNext w:val="0"/>
              <w:keepLines w:val="0"/>
              <w:pageBreakBefore w:val="0"/>
              <w:widowControl w:val="0"/>
              <w:kinsoku/>
              <w:wordWrap/>
              <w:overflowPunct/>
              <w:topLinePunct w:val="0"/>
              <w:autoSpaceDE/>
              <w:autoSpaceDN/>
              <w:bidi w:val="0"/>
              <w:snapToGrid w:val="0"/>
              <w:spacing w:beforeAutospacing="0" w:afterAutospacing="0" w:line="600" w:lineRule="exact"/>
              <w:ind w:right="0" w:rightChars="0"/>
              <w:jc w:val="both"/>
              <w:textAlignment w:val="auto"/>
              <w:rPr>
                <w:rFonts w:hint="eastAsia" w:ascii="仿宋_GB2312" w:hAnsi="仿宋_GB2312" w:eastAsia="仿宋_GB2312" w:cs="仿宋_GB2312"/>
                <w:b/>
                <w:bCs/>
                <w:color w:val="000000" w:themeColor="text1"/>
                <w:sz w:val="21"/>
                <w:szCs w:val="21"/>
                <w:shd w:val="clear" w:color="auto" w:fill="auto"/>
                <w14:textFill>
                  <w14:solidFill>
                    <w14:schemeClr w14:val="tx1"/>
                  </w14:solidFill>
                </w14:textFill>
              </w:rPr>
            </w:pPr>
            <w:r>
              <w:rPr>
                <w:rFonts w:hint="eastAsia" w:ascii="仿宋_GB2312" w:hAnsi="仿宋_GB2312" w:eastAsia="仿宋_GB2312" w:cs="仿宋_GB2312"/>
                <w:b/>
                <w:bCs/>
                <w:color w:val="000000" w:themeColor="text1"/>
                <w:sz w:val="21"/>
                <w:szCs w:val="21"/>
                <w:shd w:val="clear" w:color="auto" w:fill="auto"/>
                <w14:textFill>
                  <w14:solidFill>
                    <w14:schemeClr w14:val="tx1"/>
                  </w14:solidFill>
                </w14:textFill>
              </w:rPr>
              <w:t>服务</w:t>
            </w:r>
          </w:p>
        </w:tc>
        <w:tc>
          <w:tcPr>
            <w:tcW w:w="4256" w:type="dxa"/>
            <w:tcMar>
              <w:left w:w="108" w:type="dxa"/>
              <w:right w:w="108" w:type="dxa"/>
            </w:tcMar>
            <w:vAlign w:val="center"/>
          </w:tcPr>
          <w:p>
            <w:pPr>
              <w:pStyle w:val="5"/>
              <w:keepNext w:val="0"/>
              <w:keepLines w:val="0"/>
              <w:pageBreakBefore w:val="0"/>
              <w:widowControl w:val="0"/>
              <w:shd w:val="clear" w:color="auto" w:fill="FFFFFF"/>
              <w:kinsoku/>
              <w:wordWrap/>
              <w:overflowPunct/>
              <w:topLinePunct w:val="0"/>
              <w:autoSpaceDE/>
              <w:autoSpaceDN/>
              <w:bidi w:val="0"/>
              <w:snapToGrid w:val="0"/>
              <w:spacing w:before="0" w:beforeLines="0" w:beforeAutospacing="0" w:after="0" w:afterLines="0" w:afterAutospacing="0" w:line="600" w:lineRule="exact"/>
              <w:ind w:left="0" w:leftChars="0" w:right="0" w:rightChars="0" w:firstLine="420" w:firstLineChars="200"/>
              <w:jc w:val="center"/>
              <w:textAlignment w:val="auto"/>
              <w:rPr>
                <w:rFonts w:hint="eastAsia" w:ascii="仿宋_GB2312" w:hAnsi="仿宋_GB2312" w:eastAsia="仿宋_GB2312" w:cs="仿宋_GB2312"/>
                <w:b w:val="0"/>
                <w:bCs w:val="0"/>
                <w:color w:val="000000" w:themeColor="text1"/>
                <w:kern w:val="0"/>
                <w:sz w:val="21"/>
                <w:szCs w:val="21"/>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t>每千常住人口医疗机构床位数</w:t>
            </w:r>
          </w:p>
        </w:tc>
        <w:tc>
          <w:tcPr>
            <w:tcW w:w="725" w:type="dxa"/>
            <w:tcMar>
              <w:left w:w="108" w:type="dxa"/>
              <w:right w:w="108" w:type="dxa"/>
            </w:tcMar>
            <w:vAlign w:val="center"/>
          </w:tcPr>
          <w:p>
            <w:pPr>
              <w:pStyle w:val="5"/>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600" w:lineRule="exact"/>
              <w:ind w:right="-105" w:rightChars="-50"/>
              <w:jc w:val="center"/>
              <w:textAlignment w:val="auto"/>
              <w:rPr>
                <w:rFonts w:hint="eastAsia" w:ascii="仿宋_GB2312" w:hAnsi="仿宋_GB2312" w:eastAsia="仿宋_GB2312" w:cs="仿宋_GB2312"/>
                <w:b w:val="0"/>
                <w:bCs w:val="0"/>
                <w:color w:val="000000" w:themeColor="text1"/>
                <w:kern w:val="0"/>
                <w:sz w:val="21"/>
                <w:szCs w:val="21"/>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t>张</w:t>
            </w:r>
          </w:p>
        </w:tc>
        <w:tc>
          <w:tcPr>
            <w:tcW w:w="950" w:type="dxa"/>
            <w:tcMar>
              <w:left w:w="108" w:type="dxa"/>
              <w:right w:w="108" w:type="dxa"/>
            </w:tcMar>
            <w:vAlign w:val="center"/>
          </w:tcPr>
          <w:p>
            <w:pPr>
              <w:pStyle w:val="5"/>
              <w:keepNext w:val="0"/>
              <w:keepLines w:val="0"/>
              <w:pageBreakBefore w:val="0"/>
              <w:widowControl w:val="0"/>
              <w:shd w:val="clear" w:color="auto" w:fill="FFFFFF"/>
              <w:kinsoku/>
              <w:wordWrap/>
              <w:overflowPunct/>
              <w:topLinePunct w:val="0"/>
              <w:autoSpaceDE/>
              <w:autoSpaceDN/>
              <w:bidi w:val="0"/>
              <w:snapToGrid w:val="0"/>
              <w:spacing w:before="0" w:beforeLines="0" w:beforeAutospacing="0" w:after="0" w:afterLines="0" w:afterAutospacing="0" w:line="600" w:lineRule="exact"/>
              <w:ind w:right="0" w:rightChars="0"/>
              <w:jc w:val="center"/>
              <w:textAlignment w:val="auto"/>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t>6.57</w:t>
            </w:r>
          </w:p>
        </w:tc>
        <w:tc>
          <w:tcPr>
            <w:tcW w:w="1025" w:type="dxa"/>
            <w:tcMar>
              <w:left w:w="108" w:type="dxa"/>
              <w:right w:w="108" w:type="dxa"/>
            </w:tcMar>
            <w:vAlign w:val="center"/>
          </w:tcPr>
          <w:p>
            <w:pPr>
              <w:pStyle w:val="5"/>
              <w:keepNext w:val="0"/>
              <w:keepLines w:val="0"/>
              <w:pageBreakBefore w:val="0"/>
              <w:widowControl w:val="0"/>
              <w:kinsoku/>
              <w:wordWrap/>
              <w:overflowPunct/>
              <w:topLinePunct w:val="0"/>
              <w:autoSpaceDE/>
              <w:autoSpaceDN/>
              <w:bidi w:val="0"/>
              <w:snapToGrid w:val="0"/>
              <w:spacing w:before="0" w:beforeLines="0" w:beforeAutospacing="0" w:after="0" w:afterLines="0" w:afterAutospacing="0" w:line="600" w:lineRule="exact"/>
              <w:ind w:right="0" w:rightChars="0"/>
              <w:jc w:val="center"/>
              <w:textAlignment w:val="auto"/>
              <w:rPr>
                <w:rFonts w:hint="eastAsia" w:ascii="仿宋_GB2312" w:hAnsi="仿宋_GB2312" w:eastAsia="仿宋_GB2312" w:cs="仿宋_GB2312"/>
                <w:b w:val="0"/>
                <w:bCs w:val="0"/>
                <w:color w:val="000000" w:themeColor="text1"/>
                <w:kern w:val="0"/>
                <w:sz w:val="21"/>
                <w:szCs w:val="21"/>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t>8.29</w:t>
            </w:r>
          </w:p>
        </w:tc>
        <w:tc>
          <w:tcPr>
            <w:tcW w:w="863"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right="-105" w:rightChars="-50"/>
              <w:jc w:val="center"/>
              <w:textAlignment w:val="auto"/>
              <w:rPr>
                <w:rFonts w:hint="eastAsia" w:ascii="仿宋_GB2312" w:hAnsi="仿宋_GB2312" w:eastAsia="仿宋_GB2312" w:cs="仿宋_GB2312"/>
                <w:b w:val="0"/>
                <w:bCs w:val="0"/>
                <w:color w:val="000000" w:themeColor="text1"/>
                <w:kern w:val="2"/>
                <w:sz w:val="21"/>
                <w:szCs w:val="21"/>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9" w:type="dxa"/>
            <w:vMerge w:val="continue"/>
            <w:tcMar>
              <w:left w:w="108" w:type="dxa"/>
              <w:right w:w="108" w:type="dxa"/>
            </w:tcMar>
            <w:vAlign w:val="center"/>
          </w:tcPr>
          <w:p>
            <w:pPr>
              <w:keepNext w:val="0"/>
              <w:keepLines w:val="0"/>
              <w:pageBreakBefore w:val="0"/>
              <w:widowControl w:val="0"/>
              <w:kinsoku/>
              <w:wordWrap/>
              <w:overflowPunct/>
              <w:topLinePunct w:val="0"/>
              <w:autoSpaceDE/>
              <w:autoSpaceDN/>
              <w:bidi w:val="0"/>
              <w:snapToGrid w:val="0"/>
              <w:spacing w:beforeAutospacing="0" w:afterAutospacing="0" w:line="600" w:lineRule="exact"/>
              <w:ind w:left="0" w:leftChars="0" w:right="0" w:rightChars="0" w:firstLine="422" w:firstLineChars="200"/>
              <w:jc w:val="both"/>
              <w:textAlignment w:val="auto"/>
              <w:rPr>
                <w:rFonts w:hint="eastAsia" w:ascii="仿宋_GB2312" w:hAnsi="仿宋_GB2312" w:eastAsia="仿宋_GB2312" w:cs="仿宋_GB2312"/>
                <w:b/>
                <w:bCs/>
                <w:color w:val="000000" w:themeColor="text1"/>
                <w:sz w:val="21"/>
                <w:szCs w:val="21"/>
                <w:shd w:val="clear" w:color="auto" w:fill="auto"/>
                <w14:textFill>
                  <w14:solidFill>
                    <w14:schemeClr w14:val="tx1"/>
                  </w14:solidFill>
                </w14:textFill>
              </w:rPr>
            </w:pPr>
          </w:p>
        </w:tc>
        <w:tc>
          <w:tcPr>
            <w:tcW w:w="4256" w:type="dxa"/>
            <w:tcMar>
              <w:left w:w="108" w:type="dxa"/>
              <w:right w:w="108" w:type="dxa"/>
            </w:tcMar>
            <w:vAlign w:val="center"/>
          </w:tcPr>
          <w:p>
            <w:pPr>
              <w:pStyle w:val="5"/>
              <w:keepNext w:val="0"/>
              <w:keepLines w:val="0"/>
              <w:pageBreakBefore w:val="0"/>
              <w:widowControl w:val="0"/>
              <w:shd w:val="clear" w:color="auto" w:fill="FFFFFF"/>
              <w:kinsoku/>
              <w:wordWrap/>
              <w:overflowPunct/>
              <w:topLinePunct w:val="0"/>
              <w:autoSpaceDE/>
              <w:autoSpaceDN/>
              <w:bidi w:val="0"/>
              <w:snapToGrid w:val="0"/>
              <w:spacing w:before="0" w:beforeLines="0" w:beforeAutospacing="0" w:after="0" w:afterLines="0" w:afterAutospacing="0" w:line="600" w:lineRule="exact"/>
              <w:ind w:left="0" w:leftChars="0" w:right="0" w:rightChars="0" w:firstLine="420" w:firstLineChars="200"/>
              <w:jc w:val="center"/>
              <w:textAlignment w:val="auto"/>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t>每千人口拥有执业（助理）医师数</w:t>
            </w:r>
          </w:p>
        </w:tc>
        <w:tc>
          <w:tcPr>
            <w:tcW w:w="725" w:type="dxa"/>
            <w:tcMar>
              <w:left w:w="108" w:type="dxa"/>
              <w:right w:w="108" w:type="dxa"/>
            </w:tcMar>
            <w:vAlign w:val="center"/>
          </w:tcPr>
          <w:p>
            <w:pPr>
              <w:pStyle w:val="5"/>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600" w:lineRule="exact"/>
              <w:ind w:right="-105" w:rightChars="-50"/>
              <w:jc w:val="center"/>
              <w:textAlignment w:val="auto"/>
              <w:rPr>
                <w:rFonts w:hint="eastAsia" w:ascii="仿宋_GB2312" w:hAnsi="仿宋_GB2312" w:eastAsia="仿宋_GB2312" w:cs="仿宋_GB2312"/>
                <w:b w:val="0"/>
                <w:bCs w:val="0"/>
                <w:color w:val="000000" w:themeColor="text1"/>
                <w:kern w:val="0"/>
                <w:sz w:val="21"/>
                <w:szCs w:val="21"/>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t>人</w:t>
            </w:r>
          </w:p>
        </w:tc>
        <w:tc>
          <w:tcPr>
            <w:tcW w:w="950" w:type="dxa"/>
            <w:tcMar>
              <w:left w:w="108" w:type="dxa"/>
              <w:right w:w="108" w:type="dxa"/>
            </w:tcMar>
            <w:vAlign w:val="center"/>
          </w:tcPr>
          <w:p>
            <w:pPr>
              <w:pStyle w:val="5"/>
              <w:keepNext w:val="0"/>
              <w:keepLines w:val="0"/>
              <w:pageBreakBefore w:val="0"/>
              <w:widowControl w:val="0"/>
              <w:shd w:val="clear" w:color="auto" w:fill="FFFFFF"/>
              <w:kinsoku/>
              <w:wordWrap/>
              <w:overflowPunct/>
              <w:topLinePunct w:val="0"/>
              <w:autoSpaceDE/>
              <w:autoSpaceDN/>
              <w:bidi w:val="0"/>
              <w:snapToGrid w:val="0"/>
              <w:spacing w:before="0" w:beforeLines="0" w:beforeAutospacing="0" w:after="0" w:afterLines="0" w:afterAutospacing="0" w:line="600" w:lineRule="exact"/>
              <w:ind w:right="0" w:rightChars="0"/>
              <w:jc w:val="center"/>
              <w:textAlignment w:val="auto"/>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t>2.42</w:t>
            </w:r>
          </w:p>
        </w:tc>
        <w:tc>
          <w:tcPr>
            <w:tcW w:w="1025" w:type="dxa"/>
            <w:tcMar>
              <w:left w:w="108" w:type="dxa"/>
              <w:right w:w="108" w:type="dxa"/>
            </w:tcMar>
            <w:vAlign w:val="center"/>
          </w:tcPr>
          <w:p>
            <w:pPr>
              <w:pStyle w:val="5"/>
              <w:keepNext w:val="0"/>
              <w:keepLines w:val="0"/>
              <w:pageBreakBefore w:val="0"/>
              <w:widowControl w:val="0"/>
              <w:kinsoku/>
              <w:wordWrap/>
              <w:overflowPunct/>
              <w:topLinePunct w:val="0"/>
              <w:autoSpaceDE/>
              <w:autoSpaceDN/>
              <w:bidi w:val="0"/>
              <w:snapToGrid w:val="0"/>
              <w:spacing w:before="0" w:beforeLines="0" w:beforeAutospacing="0" w:after="0" w:afterLines="0" w:afterAutospacing="0" w:line="600" w:lineRule="exact"/>
              <w:ind w:right="0" w:rightChars="0"/>
              <w:jc w:val="center"/>
              <w:textAlignment w:val="auto"/>
              <w:rPr>
                <w:rFonts w:hint="eastAsia" w:ascii="仿宋_GB2312" w:hAnsi="仿宋_GB2312" w:eastAsia="仿宋_GB2312" w:cs="仿宋_GB2312"/>
                <w:b w:val="0"/>
                <w:bCs w:val="0"/>
                <w:color w:val="000000" w:themeColor="text1"/>
                <w:kern w:val="0"/>
                <w:sz w:val="21"/>
                <w:szCs w:val="21"/>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t>2.62</w:t>
            </w:r>
          </w:p>
        </w:tc>
        <w:tc>
          <w:tcPr>
            <w:tcW w:w="863"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right="-105" w:rightChars="-50"/>
              <w:jc w:val="center"/>
              <w:textAlignment w:val="auto"/>
              <w:rPr>
                <w:rFonts w:hint="eastAsia" w:ascii="仿宋_GB2312" w:hAnsi="仿宋_GB2312" w:eastAsia="仿宋_GB2312" w:cs="仿宋_GB2312"/>
                <w:b w:val="0"/>
                <w:bCs w:val="0"/>
                <w:color w:val="000000" w:themeColor="text1"/>
                <w:kern w:val="2"/>
                <w:sz w:val="21"/>
                <w:szCs w:val="21"/>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9" w:type="dxa"/>
            <w:vMerge w:val="continue"/>
            <w:tcMar>
              <w:left w:w="108" w:type="dxa"/>
              <w:right w:w="108" w:type="dxa"/>
            </w:tcMar>
            <w:vAlign w:val="center"/>
          </w:tcPr>
          <w:p>
            <w:pPr>
              <w:keepNext w:val="0"/>
              <w:keepLines w:val="0"/>
              <w:pageBreakBefore w:val="0"/>
              <w:widowControl w:val="0"/>
              <w:kinsoku/>
              <w:wordWrap/>
              <w:overflowPunct/>
              <w:topLinePunct w:val="0"/>
              <w:autoSpaceDE/>
              <w:autoSpaceDN/>
              <w:bidi w:val="0"/>
              <w:snapToGrid w:val="0"/>
              <w:spacing w:beforeAutospacing="0" w:afterAutospacing="0" w:line="600" w:lineRule="exact"/>
              <w:ind w:left="0" w:leftChars="0" w:right="0" w:rightChars="0" w:firstLine="422" w:firstLineChars="200"/>
              <w:jc w:val="both"/>
              <w:textAlignment w:val="auto"/>
              <w:rPr>
                <w:rFonts w:hint="eastAsia" w:ascii="仿宋_GB2312" w:hAnsi="仿宋_GB2312" w:eastAsia="仿宋_GB2312" w:cs="仿宋_GB2312"/>
                <w:b/>
                <w:bCs/>
                <w:color w:val="000000" w:themeColor="text1"/>
                <w:sz w:val="21"/>
                <w:szCs w:val="21"/>
                <w:shd w:val="clear" w:color="auto" w:fill="auto"/>
                <w14:textFill>
                  <w14:solidFill>
                    <w14:schemeClr w14:val="tx1"/>
                  </w14:solidFill>
                </w14:textFill>
              </w:rPr>
            </w:pPr>
          </w:p>
        </w:tc>
        <w:tc>
          <w:tcPr>
            <w:tcW w:w="4256" w:type="dxa"/>
            <w:tcMar>
              <w:left w:w="108" w:type="dxa"/>
              <w:right w:w="108" w:type="dxa"/>
            </w:tcMar>
            <w:vAlign w:val="center"/>
          </w:tcPr>
          <w:p>
            <w:pPr>
              <w:pStyle w:val="5"/>
              <w:keepNext w:val="0"/>
              <w:keepLines w:val="0"/>
              <w:pageBreakBefore w:val="0"/>
              <w:widowControl w:val="0"/>
              <w:shd w:val="clear" w:color="auto" w:fill="FFFFFF"/>
              <w:kinsoku/>
              <w:wordWrap/>
              <w:overflowPunct/>
              <w:topLinePunct w:val="0"/>
              <w:autoSpaceDE/>
              <w:autoSpaceDN/>
              <w:bidi w:val="0"/>
              <w:snapToGrid w:val="0"/>
              <w:spacing w:before="0" w:beforeLines="0" w:beforeAutospacing="0" w:after="0" w:afterLines="0" w:afterAutospacing="0" w:line="600" w:lineRule="exact"/>
              <w:ind w:right="0" w:rightChars="0"/>
              <w:jc w:val="center"/>
              <w:textAlignment w:val="auto"/>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t>每千人口拥有中医类别执业（助理）医师数</w:t>
            </w:r>
          </w:p>
        </w:tc>
        <w:tc>
          <w:tcPr>
            <w:tcW w:w="725" w:type="dxa"/>
            <w:tcMar>
              <w:left w:w="108" w:type="dxa"/>
              <w:right w:w="108" w:type="dxa"/>
            </w:tcMar>
            <w:vAlign w:val="center"/>
          </w:tcPr>
          <w:p>
            <w:pPr>
              <w:pStyle w:val="5"/>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600" w:lineRule="exact"/>
              <w:ind w:right="-105" w:rightChars="-50"/>
              <w:jc w:val="center"/>
              <w:textAlignment w:val="auto"/>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t>人</w:t>
            </w:r>
          </w:p>
        </w:tc>
        <w:tc>
          <w:tcPr>
            <w:tcW w:w="950" w:type="dxa"/>
            <w:tcMar>
              <w:left w:w="108" w:type="dxa"/>
              <w:right w:w="108" w:type="dxa"/>
            </w:tcMar>
            <w:vAlign w:val="center"/>
          </w:tcPr>
          <w:p>
            <w:pPr>
              <w:pStyle w:val="5"/>
              <w:keepNext w:val="0"/>
              <w:keepLines w:val="0"/>
              <w:pageBreakBefore w:val="0"/>
              <w:widowControl w:val="0"/>
              <w:shd w:val="clear" w:color="auto" w:fill="FFFFFF"/>
              <w:kinsoku/>
              <w:wordWrap/>
              <w:overflowPunct/>
              <w:topLinePunct w:val="0"/>
              <w:autoSpaceDE/>
              <w:autoSpaceDN/>
              <w:bidi w:val="0"/>
              <w:snapToGrid w:val="0"/>
              <w:spacing w:before="0" w:beforeLines="0" w:beforeAutospacing="0" w:after="0" w:afterLines="0" w:afterAutospacing="0" w:line="600" w:lineRule="exact"/>
              <w:ind w:right="0" w:rightChars="0"/>
              <w:jc w:val="center"/>
              <w:textAlignment w:val="auto"/>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t>0.36</w:t>
            </w:r>
          </w:p>
        </w:tc>
        <w:tc>
          <w:tcPr>
            <w:tcW w:w="1025" w:type="dxa"/>
            <w:tcMar>
              <w:left w:w="108" w:type="dxa"/>
              <w:right w:w="108" w:type="dxa"/>
            </w:tcMar>
            <w:vAlign w:val="center"/>
          </w:tcPr>
          <w:p>
            <w:pPr>
              <w:pStyle w:val="5"/>
              <w:keepNext w:val="0"/>
              <w:keepLines w:val="0"/>
              <w:pageBreakBefore w:val="0"/>
              <w:widowControl w:val="0"/>
              <w:kinsoku/>
              <w:wordWrap/>
              <w:overflowPunct/>
              <w:topLinePunct w:val="0"/>
              <w:autoSpaceDE/>
              <w:autoSpaceDN/>
              <w:bidi w:val="0"/>
              <w:snapToGrid w:val="0"/>
              <w:spacing w:before="0" w:beforeLines="0" w:beforeAutospacing="0" w:after="0" w:afterLines="0" w:afterAutospacing="0" w:line="600" w:lineRule="exact"/>
              <w:ind w:right="0" w:rightChars="0"/>
              <w:jc w:val="center"/>
              <w:textAlignment w:val="auto"/>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t>0.62</w:t>
            </w:r>
          </w:p>
        </w:tc>
        <w:tc>
          <w:tcPr>
            <w:tcW w:w="863"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right="-105" w:rightChars="-50"/>
              <w:jc w:val="center"/>
              <w:textAlignment w:val="auto"/>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9" w:type="dxa"/>
            <w:vMerge w:val="continue"/>
            <w:tcMar>
              <w:left w:w="108" w:type="dxa"/>
              <w:right w:w="108" w:type="dxa"/>
            </w:tcMar>
            <w:vAlign w:val="center"/>
          </w:tcPr>
          <w:p>
            <w:pPr>
              <w:keepNext w:val="0"/>
              <w:keepLines w:val="0"/>
              <w:pageBreakBefore w:val="0"/>
              <w:widowControl w:val="0"/>
              <w:kinsoku/>
              <w:wordWrap/>
              <w:overflowPunct/>
              <w:topLinePunct w:val="0"/>
              <w:autoSpaceDE/>
              <w:autoSpaceDN/>
              <w:bidi w:val="0"/>
              <w:snapToGrid w:val="0"/>
              <w:spacing w:beforeAutospacing="0" w:afterAutospacing="0" w:line="600" w:lineRule="exact"/>
              <w:ind w:left="0" w:leftChars="0" w:right="0" w:rightChars="0" w:firstLine="422" w:firstLineChars="200"/>
              <w:jc w:val="both"/>
              <w:textAlignment w:val="auto"/>
              <w:rPr>
                <w:rFonts w:hint="eastAsia" w:ascii="仿宋_GB2312" w:hAnsi="仿宋_GB2312" w:eastAsia="仿宋_GB2312" w:cs="仿宋_GB2312"/>
                <w:b/>
                <w:bCs/>
                <w:color w:val="000000" w:themeColor="text1"/>
                <w:sz w:val="21"/>
                <w:szCs w:val="21"/>
                <w:shd w:val="clear" w:color="auto" w:fill="auto"/>
                <w14:textFill>
                  <w14:solidFill>
                    <w14:schemeClr w14:val="tx1"/>
                  </w14:solidFill>
                </w14:textFill>
              </w:rPr>
            </w:pPr>
          </w:p>
        </w:tc>
        <w:tc>
          <w:tcPr>
            <w:tcW w:w="4256" w:type="dxa"/>
            <w:tcMar>
              <w:left w:w="108" w:type="dxa"/>
              <w:right w:w="108" w:type="dxa"/>
            </w:tcMar>
            <w:vAlign w:val="center"/>
          </w:tcPr>
          <w:p>
            <w:pPr>
              <w:pStyle w:val="5"/>
              <w:keepNext w:val="0"/>
              <w:keepLines w:val="0"/>
              <w:pageBreakBefore w:val="0"/>
              <w:widowControl w:val="0"/>
              <w:shd w:val="clear" w:color="auto" w:fill="FFFFFF"/>
              <w:kinsoku/>
              <w:wordWrap/>
              <w:overflowPunct/>
              <w:topLinePunct w:val="0"/>
              <w:autoSpaceDE/>
              <w:autoSpaceDN/>
              <w:bidi w:val="0"/>
              <w:snapToGrid w:val="0"/>
              <w:spacing w:before="0" w:beforeLines="0" w:beforeAutospacing="0" w:after="0" w:afterLines="0" w:afterAutospacing="0" w:line="600" w:lineRule="exact"/>
              <w:ind w:left="0" w:leftChars="0" w:right="0" w:rightChars="0" w:firstLine="420" w:firstLineChars="200"/>
              <w:jc w:val="center"/>
              <w:textAlignment w:val="auto"/>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t>每千人口拥有注册护士数</w:t>
            </w:r>
          </w:p>
        </w:tc>
        <w:tc>
          <w:tcPr>
            <w:tcW w:w="725" w:type="dxa"/>
            <w:tcMar>
              <w:left w:w="108" w:type="dxa"/>
              <w:right w:w="108" w:type="dxa"/>
            </w:tcMar>
            <w:vAlign w:val="center"/>
          </w:tcPr>
          <w:p>
            <w:pPr>
              <w:pStyle w:val="5"/>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600" w:lineRule="exact"/>
              <w:ind w:right="-105" w:rightChars="-50"/>
              <w:jc w:val="center"/>
              <w:textAlignment w:val="auto"/>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t>人</w:t>
            </w:r>
          </w:p>
        </w:tc>
        <w:tc>
          <w:tcPr>
            <w:tcW w:w="950" w:type="dxa"/>
            <w:tcMar>
              <w:left w:w="108" w:type="dxa"/>
              <w:right w:w="108" w:type="dxa"/>
            </w:tcMar>
            <w:vAlign w:val="center"/>
          </w:tcPr>
          <w:p>
            <w:pPr>
              <w:pStyle w:val="5"/>
              <w:keepNext w:val="0"/>
              <w:keepLines w:val="0"/>
              <w:pageBreakBefore w:val="0"/>
              <w:widowControl w:val="0"/>
              <w:shd w:val="clear" w:color="auto" w:fill="FFFFFF"/>
              <w:kinsoku/>
              <w:wordWrap/>
              <w:overflowPunct/>
              <w:topLinePunct w:val="0"/>
              <w:autoSpaceDE/>
              <w:autoSpaceDN/>
              <w:bidi w:val="0"/>
              <w:snapToGrid w:val="0"/>
              <w:spacing w:before="0" w:beforeLines="0" w:beforeAutospacing="0" w:after="0" w:afterLines="0" w:afterAutospacing="0" w:line="600" w:lineRule="exact"/>
              <w:ind w:right="0" w:rightChars="0"/>
              <w:jc w:val="center"/>
              <w:textAlignment w:val="auto"/>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t>3.17</w:t>
            </w:r>
          </w:p>
        </w:tc>
        <w:tc>
          <w:tcPr>
            <w:tcW w:w="1025" w:type="dxa"/>
            <w:tcMar>
              <w:left w:w="108" w:type="dxa"/>
              <w:right w:w="108" w:type="dxa"/>
            </w:tcMar>
            <w:vAlign w:val="center"/>
          </w:tcPr>
          <w:p>
            <w:pPr>
              <w:pStyle w:val="5"/>
              <w:keepNext w:val="0"/>
              <w:keepLines w:val="0"/>
              <w:pageBreakBefore w:val="0"/>
              <w:widowControl w:val="0"/>
              <w:kinsoku/>
              <w:wordWrap/>
              <w:overflowPunct/>
              <w:topLinePunct w:val="0"/>
              <w:autoSpaceDE/>
              <w:autoSpaceDN/>
              <w:bidi w:val="0"/>
              <w:snapToGrid w:val="0"/>
              <w:spacing w:before="0" w:beforeLines="0" w:beforeAutospacing="0" w:after="0" w:afterLines="0" w:afterAutospacing="0" w:line="600" w:lineRule="exact"/>
              <w:ind w:right="0" w:rightChars="0"/>
              <w:jc w:val="center"/>
              <w:textAlignment w:val="auto"/>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t>4.3</w:t>
            </w:r>
          </w:p>
        </w:tc>
        <w:tc>
          <w:tcPr>
            <w:tcW w:w="863"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right="-105" w:rightChars="-50"/>
              <w:jc w:val="center"/>
              <w:textAlignment w:val="auto"/>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9" w:type="dxa"/>
            <w:vMerge w:val="continue"/>
            <w:tcMar>
              <w:left w:w="108" w:type="dxa"/>
              <w:right w:w="108" w:type="dxa"/>
            </w:tcMar>
            <w:vAlign w:val="center"/>
          </w:tcPr>
          <w:p>
            <w:pPr>
              <w:keepNext w:val="0"/>
              <w:keepLines w:val="0"/>
              <w:pageBreakBefore w:val="0"/>
              <w:widowControl w:val="0"/>
              <w:kinsoku/>
              <w:wordWrap/>
              <w:overflowPunct/>
              <w:topLinePunct w:val="0"/>
              <w:autoSpaceDE/>
              <w:autoSpaceDN/>
              <w:bidi w:val="0"/>
              <w:snapToGrid w:val="0"/>
              <w:spacing w:beforeAutospacing="0" w:afterAutospacing="0" w:line="600" w:lineRule="exact"/>
              <w:ind w:left="0" w:leftChars="0" w:right="0" w:rightChars="0" w:firstLine="422" w:firstLineChars="200"/>
              <w:jc w:val="both"/>
              <w:textAlignment w:val="auto"/>
              <w:rPr>
                <w:rFonts w:hint="eastAsia" w:ascii="仿宋_GB2312" w:hAnsi="仿宋_GB2312" w:eastAsia="仿宋_GB2312" w:cs="仿宋_GB2312"/>
                <w:b/>
                <w:bCs/>
                <w:color w:val="000000" w:themeColor="text1"/>
                <w:sz w:val="21"/>
                <w:szCs w:val="21"/>
                <w:shd w:val="clear" w:color="auto" w:fill="auto"/>
                <w14:textFill>
                  <w14:solidFill>
                    <w14:schemeClr w14:val="tx1"/>
                  </w14:solidFill>
                </w14:textFill>
              </w:rPr>
            </w:pPr>
          </w:p>
        </w:tc>
        <w:tc>
          <w:tcPr>
            <w:tcW w:w="4256" w:type="dxa"/>
            <w:tcMar>
              <w:left w:w="108" w:type="dxa"/>
              <w:right w:w="108" w:type="dxa"/>
            </w:tcMar>
            <w:vAlign w:val="center"/>
          </w:tcPr>
          <w:p>
            <w:pPr>
              <w:pStyle w:val="5"/>
              <w:keepNext w:val="0"/>
              <w:keepLines w:val="0"/>
              <w:pageBreakBefore w:val="0"/>
              <w:widowControl w:val="0"/>
              <w:shd w:val="clear" w:color="auto" w:fill="FFFFFF"/>
              <w:kinsoku/>
              <w:wordWrap/>
              <w:overflowPunct/>
              <w:topLinePunct w:val="0"/>
              <w:autoSpaceDE/>
              <w:autoSpaceDN/>
              <w:bidi w:val="0"/>
              <w:snapToGrid w:val="0"/>
              <w:spacing w:before="0" w:beforeLines="0" w:beforeAutospacing="0" w:after="0" w:afterLines="0" w:afterAutospacing="0" w:line="600" w:lineRule="exact"/>
              <w:ind w:left="0" w:leftChars="0" w:right="0" w:rightChars="0" w:firstLine="420" w:firstLineChars="200"/>
              <w:jc w:val="center"/>
              <w:textAlignment w:val="auto"/>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t>每千人口拥有药师（士）数</w:t>
            </w:r>
          </w:p>
        </w:tc>
        <w:tc>
          <w:tcPr>
            <w:tcW w:w="725" w:type="dxa"/>
            <w:tcMar>
              <w:left w:w="108" w:type="dxa"/>
              <w:right w:w="108" w:type="dxa"/>
            </w:tcMar>
            <w:vAlign w:val="center"/>
          </w:tcPr>
          <w:p>
            <w:pPr>
              <w:pStyle w:val="5"/>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600" w:lineRule="exact"/>
              <w:ind w:right="-105" w:rightChars="-50"/>
              <w:jc w:val="center"/>
              <w:textAlignment w:val="auto"/>
              <w:rPr>
                <w:rFonts w:hint="eastAsia" w:ascii="仿宋_GB2312" w:hAnsi="仿宋_GB2312" w:eastAsia="仿宋_GB2312" w:cs="仿宋_GB2312"/>
                <w:b w:val="0"/>
                <w:bCs w:val="0"/>
                <w:color w:val="000000" w:themeColor="text1"/>
                <w:kern w:val="0"/>
                <w:sz w:val="21"/>
                <w:szCs w:val="21"/>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t>人</w:t>
            </w:r>
          </w:p>
        </w:tc>
        <w:tc>
          <w:tcPr>
            <w:tcW w:w="950" w:type="dxa"/>
            <w:tcMar>
              <w:left w:w="108" w:type="dxa"/>
              <w:right w:w="108" w:type="dxa"/>
            </w:tcMar>
            <w:vAlign w:val="center"/>
          </w:tcPr>
          <w:p>
            <w:pPr>
              <w:pStyle w:val="5"/>
              <w:keepNext w:val="0"/>
              <w:keepLines w:val="0"/>
              <w:pageBreakBefore w:val="0"/>
              <w:widowControl w:val="0"/>
              <w:shd w:val="clear" w:color="auto" w:fill="FFFFFF"/>
              <w:kinsoku/>
              <w:wordWrap/>
              <w:overflowPunct/>
              <w:topLinePunct w:val="0"/>
              <w:autoSpaceDE/>
              <w:autoSpaceDN/>
              <w:bidi w:val="0"/>
              <w:snapToGrid w:val="0"/>
              <w:spacing w:before="0" w:beforeLines="0" w:beforeAutospacing="0" w:after="0" w:afterLines="0" w:afterAutospacing="0" w:line="600" w:lineRule="exact"/>
              <w:ind w:right="0" w:rightChars="0"/>
              <w:jc w:val="center"/>
              <w:textAlignment w:val="auto"/>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t>0.46</w:t>
            </w:r>
          </w:p>
        </w:tc>
        <w:tc>
          <w:tcPr>
            <w:tcW w:w="1025" w:type="dxa"/>
            <w:tcMar>
              <w:left w:w="108" w:type="dxa"/>
              <w:right w:w="108" w:type="dxa"/>
            </w:tcMar>
            <w:vAlign w:val="center"/>
          </w:tcPr>
          <w:p>
            <w:pPr>
              <w:pStyle w:val="5"/>
              <w:keepNext w:val="0"/>
              <w:keepLines w:val="0"/>
              <w:pageBreakBefore w:val="0"/>
              <w:widowControl w:val="0"/>
              <w:kinsoku/>
              <w:wordWrap/>
              <w:overflowPunct/>
              <w:topLinePunct w:val="0"/>
              <w:autoSpaceDE/>
              <w:autoSpaceDN/>
              <w:bidi w:val="0"/>
              <w:snapToGrid w:val="0"/>
              <w:spacing w:before="0" w:beforeLines="0" w:beforeAutospacing="0" w:after="0" w:afterLines="0" w:afterAutospacing="0" w:line="600" w:lineRule="exact"/>
              <w:ind w:right="0" w:rightChars="0"/>
              <w:jc w:val="center"/>
              <w:textAlignment w:val="auto"/>
              <w:rPr>
                <w:rFonts w:hint="eastAsia" w:ascii="仿宋_GB2312" w:hAnsi="仿宋_GB2312" w:eastAsia="仿宋_GB2312" w:cs="仿宋_GB2312"/>
                <w:b w:val="0"/>
                <w:bCs w:val="0"/>
                <w:color w:val="000000" w:themeColor="text1"/>
                <w:kern w:val="0"/>
                <w:sz w:val="21"/>
                <w:szCs w:val="21"/>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shd w:val="clear" w:color="auto" w:fill="auto"/>
                <w:lang w:val="en-US" w:eastAsia="zh-CN" w:bidi="ar-SA"/>
                <w14:textFill>
                  <w14:solidFill>
                    <w14:schemeClr w14:val="tx1"/>
                  </w14:solidFill>
                </w14:textFill>
              </w:rPr>
              <w:t>0.54</w:t>
            </w:r>
          </w:p>
        </w:tc>
        <w:tc>
          <w:tcPr>
            <w:tcW w:w="863"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right="-105" w:rightChars="-50"/>
              <w:jc w:val="center"/>
              <w:textAlignment w:val="auto"/>
              <w:rPr>
                <w:rFonts w:hint="eastAsia" w:ascii="仿宋_GB2312" w:hAnsi="仿宋_GB2312" w:eastAsia="仿宋_GB2312" w:cs="仿宋_GB2312"/>
                <w:b w:val="0"/>
                <w:bCs w:val="0"/>
                <w:color w:val="000000" w:themeColor="text1"/>
                <w:kern w:val="2"/>
                <w:sz w:val="21"/>
                <w:szCs w:val="21"/>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9" w:type="dxa"/>
            <w:vMerge w:val="continue"/>
            <w:tcMar>
              <w:left w:w="108" w:type="dxa"/>
              <w:right w:w="108" w:type="dxa"/>
            </w:tcMar>
            <w:vAlign w:val="center"/>
          </w:tcPr>
          <w:p>
            <w:pPr>
              <w:keepNext w:val="0"/>
              <w:keepLines w:val="0"/>
              <w:pageBreakBefore w:val="0"/>
              <w:widowControl w:val="0"/>
              <w:kinsoku/>
              <w:wordWrap/>
              <w:overflowPunct/>
              <w:topLinePunct w:val="0"/>
              <w:autoSpaceDE/>
              <w:autoSpaceDN/>
              <w:bidi w:val="0"/>
              <w:snapToGrid w:val="0"/>
              <w:spacing w:beforeAutospacing="0" w:afterAutospacing="0" w:line="600" w:lineRule="exact"/>
              <w:ind w:left="0" w:leftChars="0" w:right="0" w:rightChars="0" w:firstLine="422" w:firstLineChars="200"/>
              <w:jc w:val="both"/>
              <w:textAlignment w:val="auto"/>
              <w:rPr>
                <w:rFonts w:hint="eastAsia" w:ascii="仿宋_GB2312" w:hAnsi="仿宋_GB2312" w:eastAsia="仿宋_GB2312" w:cs="仿宋_GB2312"/>
                <w:b/>
                <w:bCs/>
                <w:color w:val="000000" w:themeColor="text1"/>
                <w:sz w:val="21"/>
                <w:szCs w:val="21"/>
                <w:shd w:val="clear" w:color="auto" w:fill="auto"/>
                <w14:textFill>
                  <w14:solidFill>
                    <w14:schemeClr w14:val="tx1"/>
                  </w14:solidFill>
                </w14:textFill>
              </w:rPr>
            </w:pPr>
          </w:p>
        </w:tc>
        <w:tc>
          <w:tcPr>
            <w:tcW w:w="4256" w:type="dxa"/>
            <w:tcMar>
              <w:left w:w="108" w:type="dxa"/>
              <w:right w:w="108" w:type="dxa"/>
            </w:tcMar>
            <w:vAlign w:val="center"/>
          </w:tcPr>
          <w:p>
            <w:pPr>
              <w:pStyle w:val="5"/>
              <w:keepNext w:val="0"/>
              <w:keepLines w:val="0"/>
              <w:pageBreakBefore w:val="0"/>
              <w:widowControl w:val="0"/>
              <w:shd w:val="clear" w:color="auto" w:fill="FFFFFF"/>
              <w:kinsoku/>
              <w:wordWrap/>
              <w:overflowPunct/>
              <w:topLinePunct w:val="0"/>
              <w:autoSpaceDE/>
              <w:autoSpaceDN/>
              <w:bidi w:val="0"/>
              <w:snapToGrid w:val="0"/>
              <w:spacing w:before="0" w:beforeLines="0" w:beforeAutospacing="0" w:after="0" w:afterLines="0" w:afterAutospacing="0" w:line="600" w:lineRule="exact"/>
              <w:ind w:left="0" w:leftChars="0" w:right="0" w:rightChars="0" w:firstLine="420" w:firstLineChars="200"/>
              <w:jc w:val="center"/>
              <w:textAlignment w:val="auto"/>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t>每万人口拥有全科医生数</w:t>
            </w:r>
          </w:p>
        </w:tc>
        <w:tc>
          <w:tcPr>
            <w:tcW w:w="725" w:type="dxa"/>
            <w:tcMar>
              <w:left w:w="108" w:type="dxa"/>
              <w:right w:w="108" w:type="dxa"/>
            </w:tcMar>
            <w:vAlign w:val="center"/>
          </w:tcPr>
          <w:p>
            <w:pPr>
              <w:pStyle w:val="5"/>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600" w:lineRule="exact"/>
              <w:ind w:right="-105" w:rightChars="-50"/>
              <w:jc w:val="center"/>
              <w:textAlignment w:val="auto"/>
              <w:rPr>
                <w:rFonts w:hint="eastAsia" w:ascii="仿宋_GB2312" w:hAnsi="仿宋_GB2312" w:eastAsia="仿宋_GB2312" w:cs="仿宋_GB2312"/>
                <w:b w:val="0"/>
                <w:bCs w:val="0"/>
                <w:color w:val="000000" w:themeColor="text1"/>
                <w:kern w:val="0"/>
                <w:sz w:val="21"/>
                <w:szCs w:val="21"/>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t>人</w:t>
            </w:r>
          </w:p>
        </w:tc>
        <w:tc>
          <w:tcPr>
            <w:tcW w:w="950" w:type="dxa"/>
            <w:tcMar>
              <w:left w:w="108" w:type="dxa"/>
              <w:right w:w="108" w:type="dxa"/>
            </w:tcMar>
            <w:vAlign w:val="center"/>
          </w:tcPr>
          <w:p>
            <w:pPr>
              <w:pStyle w:val="5"/>
              <w:keepNext w:val="0"/>
              <w:keepLines w:val="0"/>
              <w:pageBreakBefore w:val="0"/>
              <w:widowControl w:val="0"/>
              <w:shd w:val="clear" w:color="auto" w:fill="FFFFFF"/>
              <w:kinsoku/>
              <w:wordWrap/>
              <w:overflowPunct/>
              <w:topLinePunct w:val="0"/>
              <w:autoSpaceDE/>
              <w:autoSpaceDN/>
              <w:bidi w:val="0"/>
              <w:snapToGrid w:val="0"/>
              <w:spacing w:before="0" w:beforeLines="0" w:beforeAutospacing="0" w:after="0" w:afterLines="0" w:afterAutospacing="0" w:line="600" w:lineRule="exact"/>
              <w:ind w:right="0" w:rightChars="0"/>
              <w:jc w:val="center"/>
              <w:textAlignment w:val="auto"/>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t>4.01</w:t>
            </w:r>
          </w:p>
        </w:tc>
        <w:tc>
          <w:tcPr>
            <w:tcW w:w="1025" w:type="dxa"/>
            <w:tcMar>
              <w:left w:w="108" w:type="dxa"/>
              <w:right w:w="108" w:type="dxa"/>
            </w:tcMar>
            <w:vAlign w:val="center"/>
          </w:tcPr>
          <w:p>
            <w:pPr>
              <w:pStyle w:val="5"/>
              <w:keepNext w:val="0"/>
              <w:keepLines w:val="0"/>
              <w:pageBreakBefore w:val="0"/>
              <w:widowControl w:val="0"/>
              <w:kinsoku/>
              <w:wordWrap/>
              <w:overflowPunct/>
              <w:topLinePunct w:val="0"/>
              <w:autoSpaceDE/>
              <w:autoSpaceDN/>
              <w:bidi w:val="0"/>
              <w:snapToGrid w:val="0"/>
              <w:spacing w:before="0" w:beforeLines="0" w:beforeAutospacing="0" w:after="0" w:afterLines="0" w:afterAutospacing="0" w:line="600" w:lineRule="exact"/>
              <w:ind w:right="0" w:rightChars="0"/>
              <w:jc w:val="center"/>
              <w:textAlignment w:val="auto"/>
              <w:rPr>
                <w:rFonts w:hint="eastAsia" w:ascii="仿宋_GB2312" w:hAnsi="仿宋_GB2312" w:eastAsia="仿宋_GB2312" w:cs="仿宋_GB2312"/>
                <w:b w:val="0"/>
                <w:bCs w:val="0"/>
                <w:color w:val="000000" w:themeColor="text1"/>
                <w:kern w:val="0"/>
                <w:sz w:val="21"/>
                <w:szCs w:val="21"/>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t>4</w:t>
            </w:r>
          </w:p>
        </w:tc>
        <w:tc>
          <w:tcPr>
            <w:tcW w:w="863" w:type="dxa"/>
            <w:tcMar>
              <w:left w:w="108" w:type="dxa"/>
              <w:right w:w="108" w:type="dxa"/>
            </w:tcMar>
            <w:vAlign w:val="center"/>
          </w:tcPr>
          <w:p>
            <w:pPr>
              <w:pStyle w:val="5"/>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600" w:lineRule="exact"/>
              <w:ind w:right="-105" w:rightChars="-50"/>
              <w:jc w:val="center"/>
              <w:textAlignment w:val="auto"/>
              <w:rPr>
                <w:rFonts w:hint="eastAsia" w:ascii="仿宋_GB2312" w:hAnsi="仿宋_GB2312" w:eastAsia="仿宋_GB2312" w:cs="仿宋_GB2312"/>
                <w:b w:val="0"/>
                <w:bCs w:val="0"/>
                <w:color w:val="000000" w:themeColor="text1"/>
                <w:kern w:val="0"/>
                <w:sz w:val="21"/>
                <w:szCs w:val="21"/>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9" w:type="dxa"/>
            <w:vMerge w:val="continue"/>
            <w:tcMar>
              <w:left w:w="108" w:type="dxa"/>
              <w:right w:w="108" w:type="dxa"/>
            </w:tcMar>
            <w:vAlign w:val="center"/>
          </w:tcPr>
          <w:p>
            <w:pPr>
              <w:keepNext w:val="0"/>
              <w:keepLines w:val="0"/>
              <w:pageBreakBefore w:val="0"/>
              <w:widowControl w:val="0"/>
              <w:kinsoku/>
              <w:wordWrap/>
              <w:overflowPunct/>
              <w:topLinePunct w:val="0"/>
              <w:autoSpaceDE/>
              <w:autoSpaceDN/>
              <w:bidi w:val="0"/>
              <w:snapToGrid w:val="0"/>
              <w:spacing w:beforeAutospacing="0" w:afterAutospacing="0" w:line="600" w:lineRule="exact"/>
              <w:ind w:left="0" w:leftChars="0" w:right="0" w:rightChars="0" w:firstLine="422" w:firstLineChars="200"/>
              <w:jc w:val="both"/>
              <w:textAlignment w:val="auto"/>
              <w:rPr>
                <w:rFonts w:hint="eastAsia" w:ascii="仿宋_GB2312" w:hAnsi="仿宋_GB2312" w:eastAsia="仿宋_GB2312" w:cs="仿宋_GB2312"/>
                <w:b/>
                <w:bCs/>
                <w:color w:val="000000" w:themeColor="text1"/>
                <w:sz w:val="21"/>
                <w:szCs w:val="21"/>
                <w:shd w:val="clear" w:color="auto" w:fill="auto"/>
                <w14:textFill>
                  <w14:solidFill>
                    <w14:schemeClr w14:val="tx1"/>
                  </w14:solidFill>
                </w14:textFill>
              </w:rPr>
            </w:pPr>
          </w:p>
        </w:tc>
        <w:tc>
          <w:tcPr>
            <w:tcW w:w="4256" w:type="dxa"/>
            <w:tcMar>
              <w:left w:w="108" w:type="dxa"/>
              <w:right w:w="108" w:type="dxa"/>
            </w:tcMar>
            <w:vAlign w:val="center"/>
          </w:tcPr>
          <w:p>
            <w:pPr>
              <w:pStyle w:val="5"/>
              <w:keepNext w:val="0"/>
              <w:keepLines w:val="0"/>
              <w:pageBreakBefore w:val="0"/>
              <w:widowControl w:val="0"/>
              <w:shd w:val="clear" w:color="auto" w:fill="FFFFFF"/>
              <w:kinsoku/>
              <w:wordWrap/>
              <w:overflowPunct/>
              <w:topLinePunct w:val="0"/>
              <w:autoSpaceDE/>
              <w:autoSpaceDN/>
              <w:bidi w:val="0"/>
              <w:snapToGrid w:val="0"/>
              <w:spacing w:before="0" w:beforeLines="0" w:beforeAutospacing="0" w:after="0" w:afterLines="0" w:afterAutospacing="0" w:line="600" w:lineRule="exact"/>
              <w:ind w:left="0" w:leftChars="0" w:right="0" w:rightChars="0" w:firstLine="420" w:firstLineChars="200"/>
              <w:jc w:val="center"/>
              <w:textAlignment w:val="auto"/>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t>每千人口拥有公共卫生人员数</w:t>
            </w:r>
          </w:p>
        </w:tc>
        <w:tc>
          <w:tcPr>
            <w:tcW w:w="725" w:type="dxa"/>
            <w:tcMar>
              <w:left w:w="108" w:type="dxa"/>
              <w:right w:w="108" w:type="dxa"/>
            </w:tcMar>
            <w:vAlign w:val="center"/>
          </w:tcPr>
          <w:p>
            <w:pPr>
              <w:pStyle w:val="5"/>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600" w:lineRule="exact"/>
              <w:ind w:right="-105" w:rightChars="-50"/>
              <w:jc w:val="center"/>
              <w:textAlignment w:val="auto"/>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t>人</w:t>
            </w:r>
          </w:p>
        </w:tc>
        <w:tc>
          <w:tcPr>
            <w:tcW w:w="950" w:type="dxa"/>
            <w:tcMar>
              <w:left w:w="108" w:type="dxa"/>
              <w:right w:w="108" w:type="dxa"/>
            </w:tcMar>
            <w:vAlign w:val="center"/>
          </w:tcPr>
          <w:p>
            <w:pPr>
              <w:pStyle w:val="5"/>
              <w:keepNext w:val="0"/>
              <w:keepLines w:val="0"/>
              <w:pageBreakBefore w:val="0"/>
              <w:widowControl w:val="0"/>
              <w:shd w:val="clear" w:color="auto" w:fill="FFFFFF"/>
              <w:kinsoku/>
              <w:wordWrap/>
              <w:overflowPunct/>
              <w:topLinePunct w:val="0"/>
              <w:autoSpaceDE/>
              <w:autoSpaceDN/>
              <w:bidi w:val="0"/>
              <w:snapToGrid w:val="0"/>
              <w:spacing w:before="0" w:beforeLines="0" w:beforeAutospacing="0" w:after="0" w:afterLines="0" w:afterAutospacing="0" w:line="600" w:lineRule="exact"/>
              <w:ind w:right="0" w:rightChars="0"/>
              <w:jc w:val="center"/>
              <w:textAlignment w:val="auto"/>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t>1.085</w:t>
            </w:r>
          </w:p>
        </w:tc>
        <w:tc>
          <w:tcPr>
            <w:tcW w:w="1025" w:type="dxa"/>
            <w:tcMar>
              <w:left w:w="108" w:type="dxa"/>
              <w:right w:w="108" w:type="dxa"/>
            </w:tcMar>
            <w:vAlign w:val="center"/>
          </w:tcPr>
          <w:p>
            <w:pPr>
              <w:pStyle w:val="5"/>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600" w:lineRule="exact"/>
              <w:ind w:right="0" w:rightChars="0"/>
              <w:jc w:val="center"/>
              <w:textAlignment w:val="auto"/>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lang w:val="en-US" w:eastAsia="zh-CN"/>
                <w14:textFill>
                  <w14:solidFill>
                    <w14:schemeClr w14:val="tx1"/>
                  </w14:solidFill>
                </w14:textFill>
              </w:rPr>
              <w:t>增长30</w:t>
            </w:r>
            <w:r>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t>%</w:t>
            </w:r>
          </w:p>
        </w:tc>
        <w:tc>
          <w:tcPr>
            <w:tcW w:w="863"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right="-105" w:rightChars="-50"/>
              <w:jc w:val="center"/>
              <w:textAlignment w:val="auto"/>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21"/>
                <w:szCs w:val="21"/>
                <w:shd w:val="clear" w:color="auto" w:fill="auto"/>
                <w14:textFill>
                  <w14:solidFill>
                    <w14:schemeClr w14:val="tx1"/>
                  </w14:solidFill>
                </w14:textFill>
              </w:rPr>
              <w:t>预期性</w:t>
            </w:r>
          </w:p>
        </w:tc>
      </w:tr>
    </w:tbl>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eastAsia" w:ascii="黑体" w:hAnsi="黑体" w:eastAsia="黑体" w:cs="黑体"/>
          <w:b w:val="0"/>
          <w:bCs w:val="0"/>
          <w:color w:val="000000"/>
          <w:sz w:val="32"/>
          <w:szCs w:val="32"/>
          <w:u w:val="none" w:color="auto"/>
          <w:shd w:val="clear" w:color="auto" w:fill="auto"/>
          <w:lang w:val="en-US" w:eastAsia="zh-CN"/>
        </w:rPr>
      </w:pPr>
      <w:r>
        <w:rPr>
          <w:rFonts w:hint="eastAsia" w:ascii="黑体" w:hAnsi="黑体" w:eastAsia="黑体" w:cs="黑体"/>
          <w:b w:val="0"/>
          <w:bCs w:val="0"/>
          <w:color w:val="000000"/>
          <w:sz w:val="32"/>
          <w:szCs w:val="32"/>
          <w:u w:val="none" w:color="auto"/>
          <w:shd w:val="clear" w:color="auto" w:fill="auto"/>
          <w:lang w:val="en-US" w:eastAsia="zh-CN"/>
        </w:rPr>
        <w:t>三、基本原则</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000000"/>
          <w:sz w:val="32"/>
          <w:szCs w:val="32"/>
          <w:u w:val="none" w:color="auto"/>
          <w:shd w:val="clear" w:color="auto" w:fill="auto"/>
          <w:lang w:val="en-US" w:eastAsia="zh-CN"/>
        </w:rPr>
        <w:t>（一）</w:t>
      </w:r>
      <w:r>
        <w:rPr>
          <w:rFonts w:hint="eastAsia" w:ascii="楷体_GB2312" w:hAnsi="楷体_GB2312" w:eastAsia="楷体_GB2312" w:cs="楷体_GB2312"/>
          <w:b w:val="0"/>
          <w:bCs w:val="0"/>
          <w:color w:val="000000" w:themeColor="text1"/>
          <w:kern w:val="0"/>
          <w:sz w:val="32"/>
          <w:szCs w:val="32"/>
          <w:lang w:val="en-US" w:eastAsia="zh-CN" w:bidi="ar"/>
          <w14:textFill>
            <w14:solidFill>
              <w14:schemeClr w14:val="tx1"/>
            </w14:solidFill>
          </w14:textFill>
        </w:rPr>
        <w:t>坚持需求导向原则。</w:t>
      </w:r>
      <w:r>
        <w:rPr>
          <w:rFonts w:hint="eastAsia" w:ascii="仿宋_GB2312" w:hAnsi="仿宋_GB2312" w:eastAsia="仿宋_GB2312" w:cs="仿宋_GB2312"/>
          <w:sz w:val="32"/>
          <w:szCs w:val="32"/>
          <w:lang w:val="en-US" w:eastAsia="zh-CN"/>
        </w:rPr>
        <w:t>坚持以人民健康为中心，以人民群众就医需求为导向，围绕新时期卫生与健康工作方针，增加医疗资源，优化卫生资源要素配比，以公立医院建设为重点，以临床专科能力和人才队伍建设为抓手，推进优质医疗资源扩容和区域均衡布局，优化基层医疗卫生机构布局，实现医疗机构高质量发展，满足人民群众多层次、多样化的医疗服务需求。加强重大疫情救治体系建设，全面加强市级、县（区）级公立医院传染病救治能力建设。</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000000"/>
          <w:sz w:val="32"/>
          <w:szCs w:val="32"/>
          <w:u w:val="none" w:color="auto"/>
          <w:shd w:val="clear" w:color="auto" w:fill="auto"/>
          <w:lang w:val="en-US" w:eastAsia="zh-CN"/>
        </w:rPr>
        <w:t>（二）区域统筹规划原则。</w:t>
      </w:r>
      <w:r>
        <w:rPr>
          <w:rFonts w:hint="eastAsia" w:ascii="仿宋_GB2312" w:hAnsi="仿宋_GB2312" w:eastAsia="仿宋_GB2312" w:cs="仿宋_GB2312"/>
          <w:sz w:val="32"/>
          <w:szCs w:val="32"/>
          <w:lang w:val="en-US" w:eastAsia="zh-CN"/>
        </w:rPr>
        <w:t>通过统筹医疗资源总量、结构、布局，补短板、强弱项，完善城乡医疗服务体系，提高医疗资源整体效能，增强重大疫情应对公共卫生服务能力。合理配置区域综合和专科医疗资源，促进康复、护理、医养结合、居家医疗等接续性医疗服务快速发展。</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000000"/>
          <w:sz w:val="32"/>
          <w:szCs w:val="32"/>
          <w:u w:val="none" w:color="auto"/>
          <w:shd w:val="clear" w:color="auto" w:fill="auto"/>
          <w:lang w:val="en-US" w:eastAsia="zh-CN"/>
        </w:rPr>
        <w:t>（三）科学布局原则。</w:t>
      </w:r>
      <w:r>
        <w:rPr>
          <w:rFonts w:hint="eastAsia" w:ascii="仿宋_GB2312" w:hAnsi="仿宋_GB2312" w:eastAsia="仿宋_GB2312" w:cs="仿宋_GB2312"/>
          <w:sz w:val="32"/>
          <w:szCs w:val="32"/>
          <w:lang w:val="en-US" w:eastAsia="zh-CN"/>
        </w:rPr>
        <w:t>明确和落实各级各类医疗机构的功能和任务，实行中心控制、周边发展，合理配置各区域医疗机构数量，鼓励新增医疗机构在中心城区周边居民集中居住区设置，推动各区域医疗资源均衡布局、同质化发展。</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000000"/>
          <w:sz w:val="32"/>
          <w:szCs w:val="32"/>
          <w:u w:val="none" w:color="auto"/>
          <w:shd w:val="clear" w:color="auto" w:fill="auto"/>
          <w:lang w:val="en-US" w:eastAsia="zh-CN"/>
        </w:rPr>
        <w:t>（四）协同创新原则。</w:t>
      </w:r>
      <w:r>
        <w:rPr>
          <w:rFonts w:hint="eastAsia" w:ascii="仿宋_GB2312" w:hAnsi="仿宋_GB2312" w:eastAsia="仿宋_GB2312" w:cs="仿宋_GB2312"/>
          <w:sz w:val="32"/>
          <w:szCs w:val="32"/>
          <w:lang w:val="en-US" w:eastAsia="zh-CN"/>
        </w:rPr>
        <w:t>合理规划发展紧密型城市医疗集团和县域医共体，充分发挥信息化的支撑作用，加强医防融</w:t>
      </w:r>
      <w:bookmarkStart w:id="0" w:name="_GoBack"/>
      <w:bookmarkEnd w:id="0"/>
      <w:r>
        <w:rPr>
          <w:rFonts w:hint="eastAsia" w:ascii="仿宋_GB2312" w:hAnsi="仿宋_GB2312" w:eastAsia="仿宋_GB2312" w:cs="仿宋_GB2312"/>
          <w:sz w:val="32"/>
          <w:szCs w:val="32"/>
          <w:lang w:val="en-US" w:eastAsia="zh-CN"/>
        </w:rPr>
        <w:t>合、平急结合、医养结合，推动区域医疗资源融合共享。大力发展互联网诊疗服务，形成线上线下一体化服务模式，提高医疗服务体系整体效能。</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000000"/>
          <w:sz w:val="32"/>
          <w:szCs w:val="32"/>
          <w:u w:val="none" w:color="auto"/>
          <w:shd w:val="clear" w:color="auto" w:fill="auto"/>
          <w:lang w:val="en-US" w:eastAsia="zh-CN"/>
        </w:rPr>
        <w:t>（五）中西医并重原则。</w:t>
      </w:r>
      <w:r>
        <w:rPr>
          <w:rFonts w:hint="eastAsia" w:ascii="仿宋_GB2312" w:hAnsi="仿宋_GB2312" w:eastAsia="仿宋_GB2312" w:cs="仿宋_GB2312"/>
          <w:sz w:val="32"/>
          <w:szCs w:val="32"/>
          <w:lang w:val="en-US" w:eastAsia="zh-CN"/>
        </w:rPr>
        <w:t>遵循新时期卫生与健康工作方针，中西医并重，促进中医药传承创新发展，保障中医、中西医结合医疗机构的合理布局和资源配置，充分发挥中医防病治病的独特优势和作用。</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现状分析</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000000"/>
          <w:sz w:val="32"/>
          <w:szCs w:val="32"/>
          <w:u w:val="none" w:color="auto"/>
          <w:shd w:val="clear" w:color="auto" w:fill="auto"/>
          <w:lang w:val="en-US" w:eastAsia="zh-CN"/>
        </w:rPr>
      </w:pPr>
      <w:r>
        <w:rPr>
          <w:rFonts w:hint="eastAsia" w:ascii="楷体_GB2312" w:hAnsi="楷体_GB2312" w:eastAsia="楷体_GB2312" w:cs="楷体_GB2312"/>
          <w:b w:val="0"/>
          <w:bCs w:val="0"/>
          <w:color w:val="000000"/>
          <w:sz w:val="32"/>
          <w:szCs w:val="32"/>
          <w:u w:val="none" w:color="auto"/>
          <w:shd w:val="clear" w:color="auto" w:fill="auto"/>
          <w:lang w:val="en-US" w:eastAsia="zh-CN"/>
        </w:rPr>
        <w:t>（一）概况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河源市乡镇（街道办事处）101个，村（居）1441个。2020年末户籍总人口372.18万人，性别比105.87，常住人口283.56万人。2020年河源市生产总值1102.74亿元，全年全市地方一般公共预算收入79.81亿元，一般公共预算支出361.76亿元，居民人均可支配收入22291.1元，居民人均消费支出16003.5元。</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000000"/>
          <w:sz w:val="32"/>
          <w:szCs w:val="32"/>
          <w:u w:val="none" w:color="auto"/>
          <w:shd w:val="clear" w:color="auto" w:fill="auto"/>
          <w:lang w:val="en-US" w:eastAsia="zh-CN"/>
        </w:rPr>
      </w:pPr>
      <w:r>
        <w:rPr>
          <w:rFonts w:hint="eastAsia" w:ascii="楷体_GB2312" w:hAnsi="楷体_GB2312" w:eastAsia="楷体_GB2312" w:cs="楷体_GB2312"/>
          <w:b w:val="0"/>
          <w:bCs w:val="0"/>
          <w:color w:val="000000"/>
          <w:sz w:val="32"/>
          <w:szCs w:val="32"/>
          <w:u w:val="none" w:color="auto"/>
          <w:shd w:val="clear" w:color="auto" w:fill="auto"/>
          <w:lang w:val="en-US" w:eastAsia="zh-CN"/>
        </w:rPr>
        <w:t>（二）医疗机构现状</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1.医疗卫生机构</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2020年末，全市医疗卫生机构总数为2043家。卫生医疗设施服务半径覆盖基本达到15分钟生活圈要求，其中城市二级及以上医院覆盖率99.40%。</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（1）医院</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共有65家，其中综合医院31家，中医（综合）医院9家，专科医院25家（含口腔医院4家，眼科医院3家，妇产(科)医院2家，精神病医院8家，麻风病医院1家，职业病医院1家，康复医院4家，其他专科医院2家），公立医院17家，民营医院48家。</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（2）基层医疗卫生机构</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共有1927家，其中社区卫生服务中心8家，社区卫生服务站13家，中心卫生院18家，乡镇卫生院79家，村卫生站1518家，门诊部19家，诊所（包括卫生所、医务室）272家。</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（3）专业公共卫生机构</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共有48家，其中疾病预防控制机构6家，专科疾病防治院(所、站)7家，妇幼保健院7家，急救中心1家，采供血机构2家，卫生监督所6家。</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（4）其他卫生机构。</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共有3家，康复医疗机构、临床检验所及其他卫生事业机构各1家。</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2.住院床位</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2020年末，全市医疗卫生机构实有床位18643张,其中医院11382张，基层医疗卫生机构5070张。医院中，公立医院实有床位6569张,占57.71%，民营医院实有床位4813张,占42.29%。全市医疗卫生机构每千常住人口床位数6.57张，比“十二五”期末增加2.63张。</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3.卫生人员</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2020年末，全市医疗卫生机构在岗职工24600人。在岗职工中，卫生技术人员19991人，其他技术人员1874人，管理人员657人，工勤技能人员2078人。卫生人员比“十二五”期末增加6313人。 </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卫生技术人员中，执业(助理)医师6881人，比“十二五”期末增加1623人，增幅为30.86%，注册护士8995人。每千常住人口执业(助理)医师2.42人、注册护士3.17人，每万常住人口全科医生4.01人。</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4.医疗服务</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①门急诊和住院量</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2020年，全市医疗卫生机构总诊疗1288万人次，比“十二五”期末增长1.21 %。居民到医疗卫生机构平均就诊4.54次。年急诊94万人次，年住院40.2万人次，年手术16.89万人次，住院患者住院总天数为242.1万天。区域内医院门诊424.66万人次、入院25.63万人次，基层医疗卫生机构门诊747.2万人次、入院8.56万人次。居民区域外诊疗人次占比0.83%，区域外入院人次占比为0.5%。</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②医院医师工作负荷</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2020年，医师日均担负诊疗人次数为7.5、医师日均担负住院床数为1.4。</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③病床使用率。</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2020年医疗机构病床使用率56.37％，其中：医院62％，基层医疗卫生机构41％。</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④医疗卫生机构收支</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2020年，医疗卫生机构总收入659661.5万元，其中财政补贴收入151894.5万元，医疗收入482245.7万元。总支出616006.8万元，其中人员费用255725.3万元。</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⑤无偿献血量</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全市2020年度无偿献血25022人次，献血量808.80万毫升。</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5.教学医院和规培基地</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2020年末，教学医院有河源市人民医院、市妇幼保健院、龙川县中医院，市中医院为省普通高等医学教育一类实习医院。市人民医院成功创建国家级住院医师规范化培训基地，有内科、外科、妇产科、全科4个专业基地。</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6.疾病谱</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2020年我市居民死亡原因疾病前四位是：恶性肿瘤、心血管疾病、脑血管疾病、呼吸系统疾病。住院病人前三种疾病是：恶性肿瘤、心血管疾病、脑血管疾病。</w:t>
      </w:r>
    </w:p>
    <w:p>
      <w:pPr>
        <w:keepNext w:val="0"/>
        <w:keepLines w:val="0"/>
        <w:pageBreakBefore w:val="0"/>
        <w:widowControl w:val="0"/>
        <w:numPr>
          <w:ilvl w:val="0"/>
          <w:numId w:val="2"/>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主要</w:t>
      </w:r>
      <w:r>
        <w:rPr>
          <w:rFonts w:hint="eastAsia" w:ascii="黑体" w:hAnsi="黑体" w:eastAsia="黑体" w:cs="黑体"/>
          <w:b w:val="0"/>
          <w:bCs w:val="0"/>
          <w:sz w:val="32"/>
          <w:szCs w:val="32"/>
          <w:lang w:eastAsia="zh-CN"/>
        </w:rPr>
        <w:t>存在</w:t>
      </w:r>
      <w:r>
        <w:rPr>
          <w:rFonts w:hint="eastAsia" w:ascii="黑体" w:hAnsi="黑体" w:eastAsia="黑体" w:cs="黑体"/>
          <w:b w:val="0"/>
          <w:bCs w:val="0"/>
          <w:sz w:val="32"/>
          <w:szCs w:val="32"/>
        </w:rPr>
        <w:t>问题</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000000"/>
          <w:sz w:val="32"/>
          <w:szCs w:val="32"/>
          <w:u w:val="none" w:color="auto"/>
          <w:shd w:val="clear" w:color="auto" w:fill="auto"/>
          <w:lang w:val="en-US" w:eastAsia="zh-CN"/>
        </w:rPr>
      </w:pPr>
      <w:r>
        <w:rPr>
          <w:rFonts w:hint="eastAsia" w:ascii="楷体_GB2312" w:hAnsi="楷体_GB2312" w:eastAsia="楷体_GB2312" w:cs="楷体_GB2312"/>
          <w:b w:val="0"/>
          <w:bCs w:val="0"/>
          <w:color w:val="000000"/>
          <w:sz w:val="32"/>
          <w:szCs w:val="32"/>
          <w:u w:val="none" w:color="auto"/>
          <w:shd w:val="clear" w:color="auto" w:fill="auto"/>
          <w:lang w:val="en-US" w:eastAsia="zh-CN"/>
        </w:rPr>
        <w:t>（一）区域居民主要健康问题</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1.慢性非传染性疾病已成为影响我市居民健康的主要原因。恶性肿瘤、心脑血管疾病、呼吸系统疾病是引起居民死亡的主要原因，也是本地卫生健康费用的重点支出。</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2.以新冠病毒为代表的各种传染病仍然是预防重点工作。</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3.精神疾病的患病率有逐年升高趋势。</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000000"/>
          <w:sz w:val="32"/>
          <w:szCs w:val="32"/>
          <w:u w:val="none" w:color="auto"/>
          <w:shd w:val="clear" w:color="auto" w:fill="auto"/>
          <w:lang w:val="en-US" w:eastAsia="zh-CN"/>
        </w:rPr>
      </w:pPr>
      <w:r>
        <w:rPr>
          <w:rFonts w:hint="eastAsia" w:ascii="楷体_GB2312" w:hAnsi="楷体_GB2312" w:eastAsia="楷体_GB2312" w:cs="楷体_GB2312"/>
          <w:b w:val="0"/>
          <w:bCs w:val="0"/>
          <w:color w:val="000000"/>
          <w:sz w:val="32"/>
          <w:szCs w:val="32"/>
          <w:u w:val="none" w:color="auto"/>
          <w:shd w:val="clear" w:color="auto" w:fill="auto"/>
          <w:lang w:val="en-US" w:eastAsia="zh-CN"/>
        </w:rPr>
        <w:t>（二）医疗服务体系建设的主要问题</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1.县域服务能力不均衡</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河源市县域内住院率高低差异较大，2020年达到90%以上的县只有龙川县，其他县均低于85%。</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2.基层医疗服务能力仍偏低</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2020年基层医疗卫生机构诊疗人次仅占全市的 58 %。基层医疗卫生机构普遍存在卫技人员高职称、高学历比例偏低，康复、口腔、眼科、医技、公卫、中医等专业人才不足。</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3.慢病领域健康资源较薄弱</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慢病患者健康管理、精神卫生、康复、临终关怀、中医药、医养结合等领域医疗卫生资源短缺，专业结构分布不够合理，服务能力较为薄弱，缺乏具有专科特色的医疗机构，难以适应老龄化社会对医疗卫生服务的需求。</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4.职业病防治体系尚待健全</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市级职业病与慢性病防治人员编制仅30人，有三个县未实行公益一类卫生事业单位管理；目前仍有5个县（区）无职业健康检查机构，县（区）疾控中心的职业病防治技术支撑能力显著弱化，职业病防治能力水平偏低。</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5.多元化办医格局尚未形成</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河源市社会办医数量845个，占医疗机构数的41.36 %，住院床位数5100张，占全市床位数的27.36%，住院人次占全市的16.54%，社会办医疗机构规模小、技术力量薄弱、总体水平不高，办医形式多数为个体诊所，未能与公立医院形成互补格局，不能满足高质量、多层次、个体化的医疗服务需求。</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六、医疗机构设置</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000000"/>
          <w:sz w:val="32"/>
          <w:szCs w:val="32"/>
          <w:u w:val="none" w:color="auto"/>
          <w:shd w:val="clear" w:color="auto" w:fill="auto"/>
          <w:lang w:val="en-US" w:eastAsia="zh-CN"/>
        </w:rPr>
      </w:pPr>
      <w:r>
        <w:rPr>
          <w:rFonts w:hint="eastAsia" w:ascii="楷体_GB2312" w:hAnsi="楷体_GB2312" w:eastAsia="楷体_GB2312" w:cs="楷体_GB2312"/>
          <w:b w:val="0"/>
          <w:bCs w:val="0"/>
          <w:color w:val="000000"/>
          <w:sz w:val="32"/>
          <w:szCs w:val="32"/>
          <w:u w:val="none" w:color="auto"/>
          <w:shd w:val="clear" w:color="auto" w:fill="auto"/>
          <w:lang w:val="en-US" w:eastAsia="zh-CN"/>
        </w:rPr>
        <w:t>（一）公立医疗机构</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1.综合医院</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规划期内，三级综合医院4家，其中新增2家三级综合医院（一家为龙川县人民医院、另一家待定）。支持龙川县人民医院升级改造为三级综合医院（规划床位1000张）。</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河源市深河人民医院医院推动创建成为集医、教、研、预防、康复为一体的三级综合性研究型教学医院。各县区公立二级及以上综合医院创建住院医师规范化培训协同基地。各教学医院设置一定的教学相关门诊、床位，满足教学需要。</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河源市人民医院规划床位为1680张，河源市深河人民医院规划床位为800张。</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支持发展紧密型城市医疗集团和县域医共体。推动二级及以上综合性医院开设老年医学科。</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规划期内，二级综合医院15家，其中新增5家二级综合医院。</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支持东源县第三人民医院（规划床位500张）“十四五”规划重大新建项目建设。支持源城区人医院（规划床位800张）、源城区第二人民医院（规划床位250张）、东源县人民医院（规划床位535张）、东源县第四人民医院（蓝口镇中心卫生院，规划床位360张）、和平县人民医院（规划床位560张）、和平县第二人民医院（彭寨镇中心卫生院，规划床位300张）、龙川县第三人民医院（通衢镇卫生院，规划床位200张）、紫金县第三人民医院（龙窝镇中心卫生院，规划床位200张）等8个“十四五”规划重大项目建设。</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其它县区综合医院规划床位分别为东源县第二人民医院250张、龙川县第二人民医院250张、紫金县人民医院500张、紫金县第二人民医院250张、连平县人民医院499张、连平县第二人民医院250张。</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2.中医医院</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规划期内，三级中医医院2家，其中新增1家三级中医医院（龙川县中医院）。支持龙川县中医院（规划床位600张）创建为三级甲等中医医院。</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推动二级及以上中医医院开设老年医学科。</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支持河源市中医院（规划床位600张）创建三级甲等中医医院、河源市老年病友善医院，发挥中医药在慢病调理、老年病康复治疗、治未病、康养等方面的优势，支持河源市中医院创建康养基地。</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支持源城区中医院（规划床位250张）、东源县中医院（规划床位400张）等2个“十四五”规划重大项目建设。</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其它县区中医医院规划床位分别为和平县中医院250张、龙川县中医院500张、紫金县中医院350张、连平县中医院250张。</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3.妇幼保健院</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规划期内，三级妇幼保健院2家，新增1家三级妇幼保健院（龙川县妇幼保健院），支持龙川县妇幼保健院（规划床位共450张)升级改造为三级妇幼保健院。支持河源市妇女儿童医疗中心（河源市妇幼保健院、河源市儿童医院，规划床位为1000张）“十四五”规划重大项目建设。</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支持源城区妇幼保健院计生服务中心（规划床位222张）、东源县妇幼保健院（规划床位350张）等2 个“十四五”规划重大项目建设。</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规划期内，其它县区妇幼保健院规划床位分别为和平县妇幼保健院150张、紫金县妇幼保健院300张、连平妇幼保健院150张。</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4.精神病医院</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规划期内，三级精神病医院2家。新增1家公立三级精神病医院（支持龙川县慢病院升级改造为三级精神病医院）。新增公立二级精神病医院2家（东源县、紫金县各1家）。支持东源县公立精神病医院（规划床位300 张）、紫金县公立精神病医院（规划床位200 张）等2 个“十四五”规划重大新建项目建设。</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支持河源市精神卫生中心（河源市第二人民医院，规划床位800 张）;源城区公立精神病医院（规划床位200 张）;龙川县公立精神病医院（规划床位450 张）等3 个“十四五”规划重大项目建设。</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规划期内，和平县精神病医院、连平县精神病医院按二级精神病医院基本标准规划床位数量。</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5.河源市公共卫生医学中心</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支持河源市公共卫生医学中心（规划床位450张）“十四五”规划重大新建项目建设。</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6.职业病、慢性病防治机构</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继续加强市职业病防治院（慢性病防治院，规划床位30张）建设，增强市级职业病、慢性病防治机构服务能力，加快县区职业病防治所、慢性病防治站建设。</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7.社区卫生服务机构</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社区卫生服务机构按街道办事处辖区或每3-10万常住人口设置1个社区卫生服务中心，按每个居委会辖区或每0.5-1万常住人口设置1个社区卫生服务站。</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8.卫生院和卫生站</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每个乡镇设置1家卫生院，每个行政村原则设置1个卫生站，常住人口较大的行政村可以设置2至3个卫生站，常住人口较少的行政村可以合并设置卫生站。</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000000"/>
          <w:sz w:val="32"/>
          <w:szCs w:val="32"/>
          <w:u w:val="none" w:color="auto"/>
          <w:shd w:val="clear" w:color="auto" w:fill="auto"/>
          <w:lang w:val="en-US" w:eastAsia="zh-CN"/>
        </w:rPr>
      </w:pPr>
      <w:r>
        <w:rPr>
          <w:rFonts w:hint="eastAsia" w:ascii="楷体_GB2312" w:hAnsi="楷体_GB2312" w:eastAsia="楷体_GB2312" w:cs="楷体_GB2312"/>
          <w:b w:val="0"/>
          <w:bCs w:val="0"/>
          <w:color w:val="000000"/>
          <w:sz w:val="32"/>
          <w:szCs w:val="32"/>
          <w:u w:val="none" w:color="auto"/>
          <w:shd w:val="clear" w:color="auto" w:fill="auto"/>
          <w:lang w:val="en-US" w:eastAsia="zh-CN"/>
        </w:rPr>
        <w:t>（二）医疗急救机构</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构建覆盖城乡、衔接顺畅、服务优质的市、县两级医疗急救服务体系。完善市、县120急救（指挥）中心建设，提高乡镇卫生院急救转运能力。推动院前急救网络与院内急救有效衔接，提高院前医疗急救和突发事件紧急医疗救援能力。</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000000"/>
          <w:sz w:val="32"/>
          <w:szCs w:val="32"/>
          <w:u w:val="none" w:color="auto"/>
          <w:shd w:val="clear" w:color="auto" w:fill="auto"/>
          <w:lang w:val="en-US" w:eastAsia="zh-CN"/>
        </w:rPr>
      </w:pPr>
      <w:r>
        <w:rPr>
          <w:rFonts w:hint="eastAsia" w:ascii="楷体_GB2312" w:hAnsi="楷体_GB2312" w:eastAsia="楷体_GB2312" w:cs="楷体_GB2312"/>
          <w:b w:val="0"/>
          <w:bCs w:val="0"/>
          <w:color w:val="000000"/>
          <w:sz w:val="32"/>
          <w:szCs w:val="32"/>
          <w:u w:val="none" w:color="auto"/>
          <w:shd w:val="clear" w:color="auto" w:fill="auto"/>
          <w:lang w:val="en-US" w:eastAsia="zh-CN"/>
        </w:rPr>
        <w:t>（三）社会办医疗机构</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促进社会办医健康规范发展，对社会办医区域总量和空间布局不作规划限制。引导社会资本投向资源稀缺及满足多元需求的健康服务领域；鼓励社会力量举办儿科、精神卫生、康复、慢性病、临终关怀、护理、高端医疗、医学检验、医养结合等医疗机构。鼓励发展高端健康管理机构和医疗旅游保健机构。鼓励社会力量举办非营利性医疗机构，推进医养康养融合发展，发展多样化健康服务，不断满足人民群众多层次、多元化健康需求。依法加强对非公立医疗机构服务行为的监管，促进非公立医疗机构依法执业、健康发展。</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七、医院床位配置</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规划期内，全市平均每千常住人口配置医院床位8.29张。</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八、人员配置</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规划期内，执业（助理）医师数、全科医生、注册护士数常住人口配置指标为2.62人/千、4.0/万、4.3人/千。各类医院按照有关的医院等级评审标准的要求配置各类卫生技术人员。</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九、保障措施</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000000"/>
          <w:sz w:val="32"/>
          <w:szCs w:val="32"/>
          <w:u w:val="none" w:color="auto"/>
          <w:shd w:val="clear" w:color="auto" w:fill="auto"/>
          <w:lang w:val="en-US" w:eastAsia="zh-CN"/>
        </w:rPr>
      </w:pPr>
      <w:r>
        <w:rPr>
          <w:rFonts w:hint="eastAsia" w:ascii="楷体_GB2312" w:hAnsi="楷体_GB2312" w:eastAsia="楷体_GB2312" w:cs="楷体_GB2312"/>
          <w:b w:val="0"/>
          <w:bCs w:val="0"/>
          <w:color w:val="000000"/>
          <w:sz w:val="32"/>
          <w:szCs w:val="32"/>
          <w:u w:val="none" w:color="auto"/>
          <w:shd w:val="clear" w:color="auto" w:fill="auto"/>
          <w:lang w:val="en-US" w:eastAsia="zh-CN"/>
        </w:rPr>
        <w:t>（一）加强组织领导，强化责任落实</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sz w:val="32"/>
          <w:szCs w:val="32"/>
          <w:lang w:val="en-US" w:eastAsia="zh-CN"/>
        </w:rPr>
        <w:t>市、县区卫生健康部门要切实加强领导，坚持规划引领，确保医疗机构设置规划的落实，推动规划成为引领高质量发展的方向标。各级卫生健康部门应依据本规划中资源配置标准，对辖区内管理的医疗机构设置进行统筹规划和落实。</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000000"/>
          <w:sz w:val="32"/>
          <w:szCs w:val="32"/>
          <w:u w:val="none" w:color="auto"/>
          <w:shd w:val="clear" w:color="auto" w:fill="auto"/>
          <w:lang w:val="en-US" w:eastAsia="zh-CN"/>
        </w:rPr>
      </w:pPr>
      <w:r>
        <w:rPr>
          <w:rFonts w:hint="eastAsia" w:ascii="楷体_GB2312" w:hAnsi="楷体_GB2312" w:eastAsia="楷体_GB2312" w:cs="楷体_GB2312"/>
          <w:b w:val="0"/>
          <w:bCs w:val="0"/>
          <w:color w:val="000000"/>
          <w:sz w:val="32"/>
          <w:szCs w:val="32"/>
          <w:u w:val="none" w:color="auto"/>
          <w:shd w:val="clear" w:color="auto" w:fill="auto"/>
          <w:lang w:val="en-US" w:eastAsia="zh-CN"/>
        </w:rPr>
        <w:t>（二）加大投入力度，加强监督管理</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不断加大卫生健康领域的资金投入，建立健全绩效考评机制，将考核结果与政府投入相结合，提高资金使用效率。坚持依法行政，加强综合监督管理。</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000000"/>
          <w:sz w:val="32"/>
          <w:szCs w:val="32"/>
          <w:u w:val="none" w:color="auto"/>
          <w:shd w:val="clear" w:color="auto" w:fill="auto"/>
          <w:lang w:val="en-US" w:eastAsia="zh-CN"/>
        </w:rPr>
      </w:pPr>
      <w:r>
        <w:rPr>
          <w:rFonts w:hint="eastAsia" w:ascii="楷体_GB2312" w:hAnsi="楷体_GB2312" w:eastAsia="楷体_GB2312" w:cs="楷体_GB2312"/>
          <w:b w:val="0"/>
          <w:bCs w:val="0"/>
          <w:color w:val="000000"/>
          <w:sz w:val="32"/>
          <w:szCs w:val="32"/>
          <w:u w:val="none" w:color="auto"/>
          <w:shd w:val="clear" w:color="auto" w:fill="auto"/>
          <w:lang w:val="en-US" w:eastAsia="zh-CN"/>
        </w:rPr>
        <w:t>（三）坚持人才引领，加强人才支撑</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落实《河源市高层次人才计划》《河源市高层次医疗卫生人才引育若干措施》等文件，强化高层次医疗卫生人才、急需紧缺专业人才引进，培育一批市级医学领军人才、杰出青年人才、学科带头人、学科骨干人才、省市名中医。大力推进住院医师规范化培训工作，加大对全科、儿科等紧缺专业人员招收倾斜力度，不断提升继续医学教育工作质量。实施卫生健康人才培养强基工程，进一步提升县级公立医院、乡镇卫生院医疗服务能力和管理水平。</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000000"/>
          <w:sz w:val="32"/>
          <w:szCs w:val="32"/>
          <w:u w:val="none" w:color="auto"/>
          <w:shd w:val="clear" w:color="auto" w:fill="auto"/>
          <w:lang w:val="en-US" w:eastAsia="zh-CN"/>
        </w:rPr>
      </w:pPr>
      <w:r>
        <w:rPr>
          <w:rFonts w:hint="eastAsia" w:ascii="楷体_GB2312" w:hAnsi="楷体_GB2312" w:eastAsia="楷体_GB2312" w:cs="楷体_GB2312"/>
          <w:b w:val="0"/>
          <w:bCs w:val="0"/>
          <w:color w:val="000000"/>
          <w:sz w:val="32"/>
          <w:szCs w:val="32"/>
          <w:u w:val="none" w:color="auto"/>
          <w:shd w:val="clear" w:color="auto" w:fill="auto"/>
          <w:lang w:val="en-US" w:eastAsia="zh-CN"/>
        </w:rPr>
        <w:t>（四）强化宣传引导，营造良好氛围</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坚持正确的舆论导向，通过多样化的媒体传播手段，及时宣传各类政策信息，回应社会关切，广泛凝聚社会共识，提高群众的知晓率和参与度，营造全社会关心、理解和支持卫生健康事业的良好氛围。</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十、实施与评估</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本规划在市委、市政府的领导下，由市卫生健康局负责组织实施, 切实做好组织规划实施，监督实施进度和部门协调。本规划实施结束后进行评估，为制订我市下一期医疗机构设置规划提供科学依据。</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spacing w:line="600" w:lineRule="exact"/>
        <w:textAlignment w:val="auto"/>
      </w:pPr>
    </w:p>
    <w:p/>
    <w:sectPr>
      <w:footerReference r:id="rId3" w:type="default"/>
      <w:pgSz w:w="11906" w:h="16838"/>
      <w:pgMar w:top="2041" w:right="1531" w:bottom="147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8E222"/>
    <w:multiLevelType w:val="singleLevel"/>
    <w:tmpl w:val="B268E222"/>
    <w:lvl w:ilvl="0" w:tentative="0">
      <w:start w:val="5"/>
      <w:numFmt w:val="chineseCounting"/>
      <w:suff w:val="nothing"/>
      <w:lvlText w:val="%1、"/>
      <w:lvlJc w:val="left"/>
      <w:rPr>
        <w:rFonts w:hint="eastAsia"/>
      </w:rPr>
    </w:lvl>
  </w:abstractNum>
  <w:abstractNum w:abstractNumId="1">
    <w:nsid w:val="1621ADCC"/>
    <w:multiLevelType w:val="singleLevel"/>
    <w:tmpl w:val="1621ADC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B48E4"/>
    <w:rsid w:val="0191450A"/>
    <w:rsid w:val="02094D61"/>
    <w:rsid w:val="03872B23"/>
    <w:rsid w:val="04685DFA"/>
    <w:rsid w:val="046A6391"/>
    <w:rsid w:val="05F37985"/>
    <w:rsid w:val="06347B6E"/>
    <w:rsid w:val="089C19C2"/>
    <w:rsid w:val="08A7350F"/>
    <w:rsid w:val="09BA7F27"/>
    <w:rsid w:val="0C4C04EA"/>
    <w:rsid w:val="0E156BDE"/>
    <w:rsid w:val="0F0C0A2D"/>
    <w:rsid w:val="0FA368D1"/>
    <w:rsid w:val="10D66001"/>
    <w:rsid w:val="143F5961"/>
    <w:rsid w:val="183B48E4"/>
    <w:rsid w:val="19F122D1"/>
    <w:rsid w:val="1D83251C"/>
    <w:rsid w:val="1D890A01"/>
    <w:rsid w:val="1EAC62B2"/>
    <w:rsid w:val="1F28677B"/>
    <w:rsid w:val="204135F7"/>
    <w:rsid w:val="208B7239"/>
    <w:rsid w:val="24A12FF7"/>
    <w:rsid w:val="24BA31E1"/>
    <w:rsid w:val="24EA571B"/>
    <w:rsid w:val="26EC5625"/>
    <w:rsid w:val="295A602B"/>
    <w:rsid w:val="2A4739B2"/>
    <w:rsid w:val="2B9C7B83"/>
    <w:rsid w:val="2CF53854"/>
    <w:rsid w:val="2E7056D5"/>
    <w:rsid w:val="2FC901EB"/>
    <w:rsid w:val="354C7041"/>
    <w:rsid w:val="38956E3C"/>
    <w:rsid w:val="3A0460E0"/>
    <w:rsid w:val="3E1A6929"/>
    <w:rsid w:val="3E7C7ACB"/>
    <w:rsid w:val="41624202"/>
    <w:rsid w:val="42077E24"/>
    <w:rsid w:val="44EC6F5F"/>
    <w:rsid w:val="4C18725F"/>
    <w:rsid w:val="4C283F63"/>
    <w:rsid w:val="4D5060BC"/>
    <w:rsid w:val="4EC9157B"/>
    <w:rsid w:val="50FD496C"/>
    <w:rsid w:val="51C244BC"/>
    <w:rsid w:val="54DA24C7"/>
    <w:rsid w:val="56C33820"/>
    <w:rsid w:val="57534851"/>
    <w:rsid w:val="57642356"/>
    <w:rsid w:val="58F9445F"/>
    <w:rsid w:val="5F283E44"/>
    <w:rsid w:val="5FA236ED"/>
    <w:rsid w:val="62305B5A"/>
    <w:rsid w:val="6536378F"/>
    <w:rsid w:val="660F4593"/>
    <w:rsid w:val="66E815D6"/>
    <w:rsid w:val="67814F0E"/>
    <w:rsid w:val="68137B83"/>
    <w:rsid w:val="69F17663"/>
    <w:rsid w:val="6A9614CB"/>
    <w:rsid w:val="6CB54A4A"/>
    <w:rsid w:val="6D345DF1"/>
    <w:rsid w:val="77F363CF"/>
    <w:rsid w:val="7AC06B1D"/>
    <w:rsid w:val="7CD711AB"/>
    <w:rsid w:val="7D2A146B"/>
    <w:rsid w:val="7E536B86"/>
    <w:rsid w:val="7EA12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190"/>
      <w:ind w:left="400"/>
    </w:pPr>
    <w:rPr>
      <w:rFonts w:ascii="仿宋_GB2312" w:hAnsi="仿宋_GB2312" w:eastAsia="仿宋_GB2312" w:cs="仿宋_GB2312"/>
      <w:sz w:val="32"/>
      <w:szCs w:val="32"/>
      <w:lang w:val="zh-CN" w:eastAsia="zh-CN" w:bidi="zh-CN"/>
    </w:rPr>
  </w:style>
  <w:style w:type="paragraph" w:styleId="3">
    <w:name w:val="toc 5"/>
    <w:basedOn w:val="1"/>
    <w:next w:val="1"/>
    <w:qFormat/>
    <w:uiPriority w:val="0"/>
    <w:pPr>
      <w:ind w:left="168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widowControl/>
      <w:spacing w:before="100" w:beforeLines="0" w:beforeAutospacing="1" w:after="100" w:afterLines="0" w:afterAutospacing="1" w:line="375" w:lineRule="atLeast"/>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河源市卫生健康局</Company>
  <Pages>1</Pages>
  <Words>0</Words>
  <Characters>0</Characters>
  <Lines>0</Lines>
  <Paragraphs>0</Paragraphs>
  <TotalTime>14</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2023-08-09T08:21:00Z</dcterms:created>
  <dc:creator>yαó</dc:creator>
  <cp:lastModifiedBy>yαó</cp:lastModifiedBy>
  <dcterms:modified xsi:type="dcterms:W3CDTF">2023-08-10T03:25:12Z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B3E5CCBAE6FB4EFB80C4AAFE6F97251B</vt:lpwstr>
  </property>
</Properties>
</file>