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2E71B">
      <w:pPr>
        <w:jc w:val="both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 w14:paraId="17BD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</w:rPr>
        <w:t>河源市区征收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val="en-US" w:eastAsia="zh-CN"/>
        </w:rPr>
        <w:t>集体土地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</w:rPr>
        <w:t>地上附着物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val="en-US" w:eastAsia="zh-CN"/>
        </w:rPr>
        <w:t>和</w:t>
      </w:r>
    </w:p>
    <w:p w14:paraId="6EE1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</w:rPr>
        <w:t>青苗补偿标准</w:t>
      </w:r>
    </w:p>
    <w:p w14:paraId="1A9AF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val="en-US" w:eastAsia="zh-CN"/>
        </w:rPr>
        <w:t>征求意见稿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0"/>
          <w:sz w:val="44"/>
          <w:szCs w:val="44"/>
          <w:lang w:eastAsia="zh-CN"/>
        </w:rPr>
        <w:t>）</w:t>
      </w:r>
    </w:p>
    <w:p w14:paraId="78D383D9">
      <w:pPr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ind w:left="0" w:right="12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为进一步规范河源市区征收地上附着物和青苗补偿标准，维护被征地农村集体经济组织、农民及其他权利人的合法权益，促进经济社会和谐发展，根据《中华人民共和国土地管理法》《中华人民共和国土地管理法实施条例》《广东省土地管理条例》等有关法律法规，结合河源市区实际，制定本标准。</w:t>
      </w:r>
    </w:p>
    <w:p w14:paraId="17006253">
      <w:pPr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ind w:left="0" w:right="12" w:firstLine="616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本标准适用范围为河源市区范围内，包括源城区、江东新区、河源国家高新区，本标准为河源市区内征收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地上附着物和青苗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补偿标准，补偿类型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包括地上建筑物（村民住宅）、生产生活附属用房、构筑物及其他附属设施、坟墓以及一般农作物（短期作物）类、果树木类、竹木类、水产养殖类等。</w:t>
      </w:r>
    </w:p>
    <w:p w14:paraId="54C6D0EB">
      <w:pPr>
        <w:numPr>
          <w:ilvl w:val="0"/>
          <w:numId w:val="0"/>
        </w:numPr>
        <w:spacing w:beforeLines="-2147483648" w:line="360" w:lineRule="auto"/>
        <w:ind w:left="0" w:right="12" w:firstLine="640" w:firstLineChars="200"/>
        <w:jc w:val="both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  <w:t>、地上附着物补偿标准</w:t>
      </w:r>
    </w:p>
    <w:p w14:paraId="37CDA7EF">
      <w:pPr>
        <w:spacing w:line="360" w:lineRule="auto"/>
        <w:ind w:left="0" w:firstLine="640" w:firstLineChars="200"/>
        <w:outlineLvl w:val="1"/>
        <w:rPr>
          <w:rFonts w:hint="eastAsia" w:ascii="楷体" w:hAnsi="楷体" w:eastAsia="楷体" w:cs="楷体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pacing w:val="0"/>
          <w:sz w:val="32"/>
          <w:szCs w:val="32"/>
          <w:lang w:eastAsia="zh-CN"/>
        </w:rPr>
        <w:t>（一）村民住宅</w:t>
      </w:r>
    </w:p>
    <w:p w14:paraId="1A503B4E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5"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5"/>
          <w:sz w:val="28"/>
          <w:szCs w:val="28"/>
        </w:rPr>
        <w:t>村民住宅建筑物补偿标准表</w:t>
      </w:r>
    </w:p>
    <w:tbl>
      <w:tblPr>
        <w:tblStyle w:val="5"/>
        <w:tblW w:w="9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05"/>
        <w:gridCol w:w="1388"/>
        <w:gridCol w:w="1763"/>
        <w:gridCol w:w="3826"/>
      </w:tblGrid>
      <w:tr w14:paraId="0D89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85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73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  <w:lang w:val="en-US" w:eastAsia="zh-CN"/>
              </w:rPr>
              <w:t>房屋结构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C8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  <w:lang w:val="en-US" w:eastAsia="zh-CN"/>
              </w:rPr>
              <w:t>单价（元/㎡）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72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napToGrid/>
                <w:color w:val="auto"/>
                <w:sz w:val="24"/>
                <w:szCs w:val="24"/>
                <w:lang w:val="en-US" w:eastAsia="zh-CN"/>
              </w:rPr>
              <w:t>主要条件</w:t>
            </w:r>
          </w:p>
        </w:tc>
      </w:tr>
      <w:tr w14:paraId="1C72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7F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03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框架结构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0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框架一类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1650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14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铁门或防盗门，铝合金窗，层高3.5米</w:t>
            </w:r>
          </w:p>
        </w:tc>
      </w:tr>
      <w:tr w14:paraId="434B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AB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D7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0D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框架二类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1550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89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铁门或防盗门，铝合金窗，层高3.0米；或未安装门窗，层高3.5米</w:t>
            </w:r>
          </w:p>
        </w:tc>
      </w:tr>
      <w:tr w14:paraId="4B5E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E7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1F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D1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框架三类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6C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未安装门窗，层高3.0米</w:t>
            </w:r>
          </w:p>
        </w:tc>
      </w:tr>
      <w:tr w14:paraId="161A8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F1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0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混合结构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30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混合一类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0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铁门或防盗门，铝合金窗，层高3.5米</w:t>
            </w:r>
          </w:p>
        </w:tc>
      </w:tr>
      <w:tr w14:paraId="0E21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A0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27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E4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混合二类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1300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48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铁门或防盗门，铝合金窗，层高3.0米</w:t>
            </w:r>
          </w:p>
        </w:tc>
      </w:tr>
      <w:tr w14:paraId="2BFC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39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E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9F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混合三类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1250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38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木门窗，层高3.0米</w:t>
            </w:r>
          </w:p>
        </w:tc>
      </w:tr>
      <w:tr w14:paraId="6213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14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91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（泥、红）砖木瓦结构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54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砖木一类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950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B3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180砖墙，内、外墙面批灰</w:t>
            </w:r>
          </w:p>
        </w:tc>
      </w:tr>
      <w:tr w14:paraId="0453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9D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B7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7F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砖木二类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900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57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120砖墙，内、外墙面批灰</w:t>
            </w:r>
          </w:p>
        </w:tc>
      </w:tr>
      <w:tr w14:paraId="73F9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D8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92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CB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砖木三类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850</w:t>
            </w:r>
          </w:p>
        </w:tc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B8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120砖墙，内、外墙面未批灰</w:t>
            </w:r>
          </w:p>
        </w:tc>
      </w:tr>
      <w:tr w14:paraId="3161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0458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D831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1.此标准不含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宅基地使用权价值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、不含装修，含基础；</w:t>
            </w:r>
          </w:p>
          <w:p w14:paraId="159C930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2.符合“一户一宅”村民住宅的宅基地使用权补偿价值应根据具体情况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；</w:t>
            </w:r>
          </w:p>
          <w:p w14:paraId="43844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3.对于此标准未覆盖项目，应根据具体情况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55D9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59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  <w:t>（二）生产生活附属用房</w:t>
      </w:r>
    </w:p>
    <w:p w14:paraId="5DCA5BAF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生产生活附属用房补偿标准表</w:t>
      </w:r>
    </w:p>
    <w:tbl>
      <w:tblPr>
        <w:tblStyle w:val="5"/>
        <w:tblW w:w="9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54"/>
        <w:gridCol w:w="1306"/>
        <w:gridCol w:w="1857"/>
        <w:gridCol w:w="3442"/>
      </w:tblGrid>
      <w:tr w14:paraId="58BC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42B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49AC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861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单价（元/㎡）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241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主要条件</w:t>
            </w:r>
          </w:p>
        </w:tc>
      </w:tr>
      <w:tr w14:paraId="3E77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B2E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B15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砖墙铁皮房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FA8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一类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EF5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550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041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180砖墙，内、外墙面批灰，层高2.5米及以下</w:t>
            </w:r>
          </w:p>
        </w:tc>
      </w:tr>
      <w:tr w14:paraId="5FEE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F0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60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93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二类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2B7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E70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120砖墙，内、外墙面批灰，层高2.5米及以下</w:t>
            </w:r>
          </w:p>
        </w:tc>
      </w:tr>
      <w:tr w14:paraId="2CAF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AF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9A5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FAA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三类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C3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450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274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120砖墙，内、外墙面未批灰，层高2.5米及以下</w:t>
            </w:r>
          </w:p>
        </w:tc>
      </w:tr>
      <w:tr w14:paraId="3BC8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52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0D8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简易房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6FC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一类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693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390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B87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铝合金围护房</w:t>
            </w:r>
          </w:p>
        </w:tc>
      </w:tr>
      <w:tr w14:paraId="103C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12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81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685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二类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1DA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093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环保砖铁皮顶房</w:t>
            </w:r>
          </w:p>
        </w:tc>
      </w:tr>
      <w:tr w14:paraId="5851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50A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41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465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三类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F4B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347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环保砖石棉瓦顶房</w:t>
            </w:r>
          </w:p>
        </w:tc>
      </w:tr>
      <w:tr w14:paraId="4AF0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049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C6F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铁皮棚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3E1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一类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569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119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镀锌钢管柱，钢管衍架屋架，铁皮屋面</w:t>
            </w:r>
          </w:p>
        </w:tc>
      </w:tr>
      <w:tr w14:paraId="163A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78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6AB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7CB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二类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069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992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镀锌钢管衍架屋架、铁皮屋面</w:t>
            </w:r>
          </w:p>
        </w:tc>
      </w:tr>
      <w:tr w14:paraId="55956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2DE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C5A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A83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三类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FA7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2E9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木柱木梁铁皮屋面</w:t>
            </w:r>
          </w:p>
        </w:tc>
      </w:tr>
      <w:tr w14:paraId="207C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6F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A83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对于此标准未覆盖项目，应根据具体情况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58DB1611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</w:p>
    <w:p w14:paraId="046D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59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  <w:t>（三）构筑物及其他附属设施</w:t>
      </w:r>
    </w:p>
    <w:p w14:paraId="3C963C5A">
      <w:pPr>
        <w:spacing w:afterLines="50"/>
        <w:ind w:left="40" w:firstLine="550"/>
        <w:jc w:val="center"/>
        <w:rPr>
          <w:rFonts w:ascii="仿宋" w:hAnsi="仿宋" w:eastAsia="仿宋" w:cs="仿宋"/>
          <w:b/>
          <w:color w:val="auto"/>
          <w:spacing w:val="5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color w:val="auto"/>
          <w:spacing w:val="5"/>
          <w:sz w:val="28"/>
          <w:szCs w:val="28"/>
        </w:rPr>
        <w:t>构筑物及其他附属设施补偿标准表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34"/>
        <w:gridCol w:w="3844"/>
        <w:gridCol w:w="884"/>
        <w:gridCol w:w="1559"/>
        <w:gridCol w:w="1467"/>
      </w:tblGrid>
      <w:tr w14:paraId="5643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D2740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A83D7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DB5F1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0C1DD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AB1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补偿标准</w:t>
            </w:r>
          </w:p>
          <w:p w14:paraId="7E89BC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（元/单位）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D2B00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备 注</w:t>
            </w:r>
          </w:p>
        </w:tc>
      </w:tr>
      <w:tr w14:paraId="56E2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901F6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236829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围墙、挡土墙、基础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69709C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（单砖）砖墙、围墙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highlight w:val="none"/>
              </w:rPr>
              <w:t>（未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highlight w:val="none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F9B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6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C3DAB6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680F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912FC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continue"/>
            <w:vAlign w:val="center"/>
          </w:tcPr>
          <w:p w14:paraId="5E7F80E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74788EF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（单砖）砖墙、围墙（已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6B99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8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A1ED9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1EA8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9B94F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234" w:type="dxa"/>
            <w:vMerge w:val="continue"/>
            <w:vAlign w:val="center"/>
          </w:tcPr>
          <w:p w14:paraId="013135D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1C6A61B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（18墙）砖墙、围墙（未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BE83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0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D95D8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7485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DD73A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continue"/>
            <w:vAlign w:val="center"/>
          </w:tcPr>
          <w:p w14:paraId="5E1D33E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79E7B22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（18墙）砖墙、围墙（已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6283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2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A6185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3A38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AC3C4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234" w:type="dxa"/>
            <w:vMerge w:val="continue"/>
            <w:vAlign w:val="center"/>
          </w:tcPr>
          <w:p w14:paraId="26DA267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5347D09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（24墙）砖墙、围墙（未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E1C1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2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72D307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3E2F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560B7B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234" w:type="dxa"/>
            <w:vMerge w:val="continue"/>
            <w:vAlign w:val="center"/>
          </w:tcPr>
          <w:p w14:paraId="4E17AFE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6445AAB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（24墙）砖墙、围墙（已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eastAsia="zh-CN"/>
              </w:rPr>
              <w:t>批荡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AC270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6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54157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7860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0ED2A0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1234" w:type="dxa"/>
            <w:vMerge w:val="continue"/>
            <w:vAlign w:val="center"/>
          </w:tcPr>
          <w:p w14:paraId="4EB270B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475201E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毛石挡土墙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4A966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F6F3B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69F6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15EBB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234" w:type="dxa"/>
            <w:vMerge w:val="continue"/>
            <w:vAlign w:val="center"/>
          </w:tcPr>
          <w:p w14:paraId="18E5CC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2628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混凝土挡土墙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377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7"/>
                <w:rFonts w:ascii="仿宋_GB2312" w:hAnsi="仿宋_GB2312" w:eastAsia="仿宋_GB2312" w:cs="仿宋_GB2312"/>
                <w:b w:val="0"/>
                <w:bCs/>
                <w:snapToGrid w:val="0"/>
                <w:color w:val="auto"/>
                <w:lang w:val="en-US" w:eastAsia="zh-CN" w:bidi="ar"/>
              </w:rPr>
              <w:t>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C33EE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</w:tr>
      <w:tr w14:paraId="3D78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BEF26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 w14:paraId="36CB81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混凝土道路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2DE19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混凝土道路（220mm厚）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D8C0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1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904C7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2EF5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4B322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4" w:type="dxa"/>
            <w:vMerge w:val="continue"/>
            <w:vAlign w:val="center"/>
          </w:tcPr>
          <w:p w14:paraId="53B60D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4B6B88B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混凝土道路（150mm厚）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282C4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8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BA9FF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5775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19DBC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vMerge w:val="continue"/>
            <w:vAlign w:val="center"/>
          </w:tcPr>
          <w:p w14:paraId="41C0E59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7A11ED0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混凝土道路（100mm厚）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BA51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3E4B0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09B5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754A5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1AEC85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其他附属设施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2D4D05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普通水井（按容积计）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0F2B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E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653535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65EB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9F818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4" w:type="dxa"/>
            <w:vMerge w:val="continue"/>
            <w:shd w:val="clear" w:color="auto" w:fill="auto"/>
            <w:vAlign w:val="center"/>
          </w:tcPr>
          <w:p w14:paraId="563C6F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57A8696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泥井（限5m³以内）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2BEF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A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4F9849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</w:tr>
      <w:tr w14:paraId="7297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54D90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4" w:type="dxa"/>
            <w:vMerge w:val="continue"/>
            <w:vAlign w:val="center"/>
          </w:tcPr>
          <w:p w14:paraId="6371521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17559A9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手摇井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8643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1F3486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53DF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6D34C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4" w:type="dxa"/>
            <w:vMerge w:val="continue"/>
            <w:vAlign w:val="center"/>
          </w:tcPr>
          <w:p w14:paraId="3FFA586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65008DD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晒坪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4C3BD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9712B3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</w:tr>
      <w:tr w14:paraId="7F37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E1A14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4" w:type="dxa"/>
            <w:vMerge w:val="continue"/>
            <w:vAlign w:val="center"/>
          </w:tcPr>
          <w:p w14:paraId="69FE583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3DF3BC3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水泥地坪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9027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F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C2159D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2A80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76671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4" w:type="dxa"/>
            <w:vMerge w:val="continue"/>
            <w:vAlign w:val="center"/>
          </w:tcPr>
          <w:p w14:paraId="08EFC5A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0A50C60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化粪池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205B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C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C26BE6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34BE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9F2C1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4" w:type="dxa"/>
            <w:vMerge w:val="continue"/>
            <w:vAlign w:val="center"/>
          </w:tcPr>
          <w:p w14:paraId="3990C34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3EC2911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家用沼气池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67C1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6C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21CFA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4164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09E267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4" w:type="dxa"/>
            <w:vMerge w:val="continue"/>
            <w:vAlign w:val="center"/>
          </w:tcPr>
          <w:p w14:paraId="4381F0A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1C497E0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户外水池（砖）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35E0F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F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D5CAC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0402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F8787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4" w:type="dxa"/>
            <w:vMerge w:val="continue"/>
            <w:vAlign w:val="center"/>
          </w:tcPr>
          <w:p w14:paraId="4E31F84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5C522BB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水渠、水沟（砖）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E3234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EA76E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609D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CAEB88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vMerge w:val="continue"/>
            <w:vAlign w:val="center"/>
          </w:tcPr>
          <w:p w14:paraId="621EC8F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736F12B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炉灶（水泥砂浆面）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6769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5FACE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　</w:t>
            </w:r>
          </w:p>
        </w:tc>
      </w:tr>
      <w:tr w14:paraId="01A7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70D4F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4" w:type="dxa"/>
            <w:vMerge w:val="continue"/>
            <w:vAlign w:val="center"/>
          </w:tcPr>
          <w:p w14:paraId="3A8B133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4F9B685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炉灶（瓷片贴面）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9C09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8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7F07D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</w:tr>
      <w:tr w14:paraId="4FDB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B5CC2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4" w:type="dxa"/>
            <w:vMerge w:val="continue"/>
            <w:vAlign w:val="center"/>
          </w:tcPr>
          <w:p w14:paraId="1304993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38EC851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炉灶（大理石贴面）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7A7A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9B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37F5D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</w:tr>
      <w:tr w14:paraId="1225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73ADC3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988" w:type="dxa"/>
            <w:gridSpan w:val="5"/>
            <w:vAlign w:val="center"/>
          </w:tcPr>
          <w:p w14:paraId="7BB331A6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1.此标准为地上附着物重置价格补偿；</w:t>
            </w:r>
          </w:p>
          <w:p w14:paraId="4E8E3193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2.对于此标准未覆盖项目，应根据具体情况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18E78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59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pacing w:val="3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32"/>
          <w:sz w:val="32"/>
          <w:szCs w:val="32"/>
          <w:lang w:eastAsia="zh-CN"/>
        </w:rPr>
        <w:t>（四）坟墓</w:t>
      </w:r>
    </w:p>
    <w:p w14:paraId="40233853">
      <w:pPr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坟墓搬迁补偿标准表</w:t>
      </w:r>
    </w:p>
    <w:tbl>
      <w:tblPr>
        <w:tblStyle w:val="5"/>
        <w:tblW w:w="7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31"/>
        <w:gridCol w:w="1276"/>
        <w:gridCol w:w="3260"/>
      </w:tblGrid>
      <w:tr w14:paraId="515C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031985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1D629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4BC7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1B96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补偿标准（元/单位）</w:t>
            </w:r>
          </w:p>
        </w:tc>
      </w:tr>
      <w:tr w14:paraId="71AC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5F92AB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308C2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阴城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26D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D02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val="en-US" w:eastAsia="zh-CN"/>
              </w:rPr>
              <w:t>按安放金坛数量计价</w:t>
            </w:r>
          </w:p>
        </w:tc>
      </w:tr>
      <w:tr w14:paraId="3CD6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08C864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9B583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金坛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A32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个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2C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 w14:paraId="0C04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7952EF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6439EF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土坟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FB6D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9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</w:tr>
      <w:tr w14:paraId="4F3A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70E67BD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50F6762">
            <w:pPr>
              <w:jc w:val="center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水泥（石灰）坟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FF3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F2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</w:tr>
      <w:tr w14:paraId="33E9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050805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067" w:type="dxa"/>
            <w:gridSpan w:val="3"/>
            <w:vAlign w:val="center"/>
          </w:tcPr>
          <w:p w14:paraId="7196F094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1.此标准仅为坟墓搬迁费用，其重置成本应根据具体情况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；</w:t>
            </w:r>
          </w:p>
          <w:p w14:paraId="761514B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2.对于此标准未覆盖项目，应根据具体情况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0FB5C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right="11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  <w:t>、青苗补偿标准</w:t>
      </w:r>
    </w:p>
    <w:p w14:paraId="1A109217">
      <w:pPr>
        <w:spacing w:line="360" w:lineRule="auto"/>
        <w:ind w:left="588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</w:rPr>
        <w:t>一般农作物补偿</w:t>
      </w:r>
    </w:p>
    <w:p w14:paraId="11C8B898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一般农作物补偿标准表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31"/>
        <w:gridCol w:w="3745"/>
        <w:gridCol w:w="2551"/>
      </w:tblGrid>
      <w:tr w14:paraId="6137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14:paraId="10CEA8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  <w:t>序号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CC387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  <w:t>作物类型</w:t>
            </w:r>
          </w:p>
        </w:tc>
        <w:tc>
          <w:tcPr>
            <w:tcW w:w="3745" w:type="dxa"/>
            <w:shd w:val="clear" w:color="auto" w:fill="auto"/>
            <w:noWrap/>
            <w:vAlign w:val="center"/>
          </w:tcPr>
          <w:p w14:paraId="746144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  <w:t>种植产品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6B72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  <w:t>补偿标准</w:t>
            </w:r>
          </w:p>
          <w:p w14:paraId="4B95E9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</w:rPr>
              <w:t>（元/亩）</w:t>
            </w:r>
          </w:p>
        </w:tc>
      </w:tr>
      <w:tr w14:paraId="2BBA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10F7D4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  <w:t>1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59F3224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谷类作物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2572FA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稻谷、玉米等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47B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2323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721" w:type="dxa"/>
            <w:vMerge w:val="continue"/>
            <w:vAlign w:val="center"/>
          </w:tcPr>
          <w:p w14:paraId="3AE9DDE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5C825DC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3745" w:type="dxa"/>
            <w:vMerge w:val="continue"/>
            <w:vAlign w:val="center"/>
          </w:tcPr>
          <w:p w14:paraId="20785DC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7C6BD4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</w:tr>
      <w:tr w14:paraId="4F13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0B7A51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  <w:t>2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0C4E60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叶菜类作物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5DC044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空心菜、大白菜、苋菜、葱、蒜、芥菜、菜心、韭菜、芹菜、枸杞等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31EB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6FC3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EE5628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0EA63E6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3745" w:type="dxa"/>
            <w:vMerge w:val="continue"/>
            <w:vAlign w:val="center"/>
          </w:tcPr>
          <w:p w14:paraId="3F1636F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091AFF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</w:tr>
      <w:tr w14:paraId="645D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16B766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  <w:t>3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3464CF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茄瓜类作物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4FB3FF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西红柿、茄子、辣椒、丝瓜、苦瓜、冬瓜、南瓜、青瓜、节瓜、葫芦瓜等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34BD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 w14:paraId="0B6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21" w:type="dxa"/>
            <w:vMerge w:val="continue"/>
            <w:vAlign w:val="center"/>
          </w:tcPr>
          <w:p w14:paraId="74141C7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6BB8745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3745" w:type="dxa"/>
            <w:vMerge w:val="continue"/>
            <w:vAlign w:val="center"/>
          </w:tcPr>
          <w:p w14:paraId="0F89D6F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2BE5FE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</w:tr>
      <w:tr w14:paraId="6D6F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72FACD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  <w:t>4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154F67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豆类作物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3663ED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豌豆、四季豆、扁豆、青豆、花生、黄豆、黑豆、绿豆、红豆、芝麻等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06F0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0B41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1" w:type="dxa"/>
            <w:vMerge w:val="continue"/>
            <w:vAlign w:val="center"/>
          </w:tcPr>
          <w:p w14:paraId="513D9F2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1BFDB0A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3745" w:type="dxa"/>
            <w:vMerge w:val="continue"/>
            <w:vAlign w:val="center"/>
          </w:tcPr>
          <w:p w14:paraId="2CB842D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5966F8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</w:tr>
      <w:tr w14:paraId="2649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21" w:type="dxa"/>
            <w:vMerge w:val="restart"/>
            <w:shd w:val="clear" w:color="auto" w:fill="auto"/>
            <w:noWrap/>
            <w:vAlign w:val="center"/>
          </w:tcPr>
          <w:p w14:paraId="3622E1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  <w:t>5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14:paraId="48CA6D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根茎类作物</w:t>
            </w:r>
          </w:p>
        </w:tc>
        <w:tc>
          <w:tcPr>
            <w:tcW w:w="3745" w:type="dxa"/>
            <w:vMerge w:val="restart"/>
            <w:shd w:val="clear" w:color="auto" w:fill="auto"/>
            <w:vAlign w:val="center"/>
          </w:tcPr>
          <w:p w14:paraId="41E4F2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番薯、沙葛、莲藕、萝卜、淮山、芋头、马铃薯、姜、马蹄等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14:paraId="3B18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18CD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21" w:type="dxa"/>
            <w:vMerge w:val="continue"/>
            <w:vAlign w:val="center"/>
          </w:tcPr>
          <w:p w14:paraId="6793966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 w14:paraId="356CE13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3745" w:type="dxa"/>
            <w:vMerge w:val="continue"/>
            <w:vAlign w:val="center"/>
          </w:tcPr>
          <w:p w14:paraId="675F511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09F59C9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</w:p>
        </w:tc>
      </w:tr>
      <w:tr w14:paraId="5F77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14:paraId="0CD211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</w:rPr>
              <w:t>说明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008A5F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1.混种地块以一种主作物（地块内占比最多的作物）作为补偿标准，地块内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种类青苗不再补偿；</w:t>
            </w:r>
          </w:p>
          <w:p w14:paraId="467F5C6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2.对于此标准未覆盖的品种，补偿标准可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相近品种的标准；个别特殊作物或种植方式（如大棚种植、智能化种植等）应根据具体情况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</w:rPr>
              <w:t>。</w:t>
            </w:r>
          </w:p>
        </w:tc>
      </w:tr>
    </w:tbl>
    <w:p w14:paraId="038E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59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lang w:eastAsia="zh-CN"/>
        </w:rPr>
        <w:t>（二）果树木补偿标准</w:t>
      </w:r>
    </w:p>
    <w:p w14:paraId="04EFF0DF">
      <w:pPr>
        <w:numPr>
          <w:ilvl w:val="0"/>
          <w:numId w:val="0"/>
        </w:numPr>
        <w:spacing w:afterLines="-2147483648" w:line="360" w:lineRule="auto"/>
        <w:ind w:left="0" w:right="12" w:firstLine="2620" w:firstLineChars="900"/>
        <w:jc w:val="both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果树木补偿标准表</w:t>
      </w:r>
    </w:p>
    <w:tbl>
      <w:tblPr>
        <w:tblStyle w:val="5"/>
        <w:tblW w:w="10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44"/>
        <w:gridCol w:w="3315"/>
        <w:gridCol w:w="1560"/>
        <w:gridCol w:w="1417"/>
        <w:gridCol w:w="1613"/>
      </w:tblGrid>
      <w:tr w14:paraId="6FB7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6FE70E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16980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3315" w:type="dxa"/>
            <w:vMerge w:val="restart"/>
            <w:shd w:val="clear" w:color="auto" w:fill="auto"/>
            <w:noWrap/>
            <w:vAlign w:val="center"/>
          </w:tcPr>
          <w:p w14:paraId="52A822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E87B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零星种植</w:t>
            </w:r>
          </w:p>
        </w:tc>
        <w:tc>
          <w:tcPr>
            <w:tcW w:w="3030" w:type="dxa"/>
            <w:gridSpan w:val="2"/>
            <w:shd w:val="clear" w:color="auto" w:fill="auto"/>
            <w:noWrap/>
            <w:vAlign w:val="center"/>
          </w:tcPr>
          <w:p w14:paraId="4574E7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成片种植</w:t>
            </w:r>
          </w:p>
        </w:tc>
      </w:tr>
      <w:tr w14:paraId="5800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600" w:type="dxa"/>
            <w:vMerge w:val="continue"/>
            <w:vAlign w:val="center"/>
          </w:tcPr>
          <w:p w14:paraId="251785F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3EFE6B0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vMerge w:val="continue"/>
            <w:vAlign w:val="center"/>
          </w:tcPr>
          <w:p w14:paraId="350A5C7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1203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补偿标准</w:t>
            </w:r>
          </w:p>
          <w:p w14:paraId="4ADBA4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（元∕棵）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A96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种植密度（棵/亩）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F9446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最高补偿标准（元/亩）</w:t>
            </w:r>
          </w:p>
        </w:tc>
      </w:tr>
      <w:tr w14:paraId="7C49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36AAFF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0AE48A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荔枝、龙眼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90F9B3B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特大棵（挂果，胸径超过30cm）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15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59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4E8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</w:tr>
      <w:tr w14:paraId="1336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3EA5062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095EE83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6BEEB12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挂果，胸径20-30cm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50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70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38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B16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0A6B4F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ADBD3F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9E0217C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挂果，胸径10-20cm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7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A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DC8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</w:tr>
      <w:tr w14:paraId="5600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79AE77E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DE7AE3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038C066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挂果，胸径小于10cm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145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E8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BB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26F1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76ED832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0936E16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3450669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4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41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86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 w14:paraId="7A61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7398C6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DE73E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黄皮、沙梨、枇杷、柿子、橄榄、番石榴、栗树、芒果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53DE55E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特大棵（挂果，胸径超过25cm）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A8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75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174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22500</w:t>
            </w:r>
          </w:p>
        </w:tc>
      </w:tr>
      <w:tr w14:paraId="5221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9ED95D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06FF876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7CCFC35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挂果，胸径15-25cm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CE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4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7B2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22500</w:t>
            </w:r>
          </w:p>
        </w:tc>
      </w:tr>
      <w:tr w14:paraId="7850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6DB4E96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24AD362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B995115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挂果，胸径5-15cm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E6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F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7BD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070D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61446B2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AFF6FB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6C4C4F3C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挂果，胸径小于5cm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E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26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AF4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ED1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3943F3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275E570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5139F93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E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8F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6A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034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25D655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246DF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桃、李、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青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梅、杨桃、枣、柚子、柠檬、杨梅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7AAF9DF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特大棵（挂果，胸径超过20cm）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1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C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87F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13750</w:t>
            </w:r>
          </w:p>
        </w:tc>
      </w:tr>
      <w:tr w14:paraId="2A62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7A7B8FF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2CEB180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1C18AAE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挂果，胸径10-20cm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30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8B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42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12750</w:t>
            </w:r>
          </w:p>
        </w:tc>
      </w:tr>
      <w:tr w14:paraId="2C54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558EC0B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7D3B44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1C9AD4B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挂果，胸径5-10cm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8A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4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B1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</w:tr>
      <w:tr w14:paraId="73AF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1B29086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4CEC6F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0CF660B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挂果，胸径小于5cm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35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0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554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 w14:paraId="6483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7C34992A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A60F78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B51CA62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3D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A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DA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02B3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51DF25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A9DB9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柑、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橘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、橙、人参果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33693AA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特大棵（挂果，树高大于2.0m）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BA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D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9A3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 w14:paraId="2BE1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5C0724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079533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74D1B02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挂果，树高1.5-2.0m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F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0A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38C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12750</w:t>
            </w:r>
          </w:p>
        </w:tc>
      </w:tr>
      <w:tr w14:paraId="57FC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55DCAF3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61AB0DC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B89180A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挂果，树高1-1.5m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F2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0C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A32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7600</w:t>
            </w:r>
          </w:p>
        </w:tc>
      </w:tr>
      <w:tr w14:paraId="2AD1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E50E6D6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2E42CA5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B02314D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挂果，树高小1m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E9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88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230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 w14:paraId="2B41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C41988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34AE8AD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F16790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幼苗（未挂果）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1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F9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5E9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793A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335C93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3BA62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砂糖橘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AD9CC0D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已挂果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1FD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09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F03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26600</w:t>
            </w:r>
          </w:p>
        </w:tc>
      </w:tr>
      <w:tr w14:paraId="7188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8296A2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57782B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1FB135C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未挂果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4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3F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EB3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</w:tr>
      <w:tr w14:paraId="7AF4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608E854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1D12DC9D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2FC134DD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树高0.5m以下，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含0.5m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44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5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80E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 w14:paraId="7402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25AF91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28D4B4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火龙果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C608131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大（挂果，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苗高2m以上，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有水泥架）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CD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7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B99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7B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0" w:type="dxa"/>
            <w:vMerge w:val="continue"/>
            <w:vAlign w:val="center"/>
          </w:tcPr>
          <w:p w14:paraId="25DDC15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554587F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792DAA74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苗高1-2m（含），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有水泥架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3B0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36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EB4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25600</w:t>
            </w:r>
          </w:p>
        </w:tc>
      </w:tr>
      <w:tr w14:paraId="79B7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0" w:type="dxa"/>
            <w:vMerge w:val="continue"/>
            <w:vAlign w:val="center"/>
          </w:tcPr>
          <w:p w14:paraId="2C8B357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38C160B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5C7E2309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苗高0.5-1m（含），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有水泥架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C7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33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0F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 w14:paraId="08CB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0CBA4ECC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D3919A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6B0CD8B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苗高0.5m以下（含）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，有水泥架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D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94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5AD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</w:tr>
      <w:tr w14:paraId="5D1E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43F531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5C340DEB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百香果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F37396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大（挂果，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藤径3cm以上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B7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25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9C2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0A4D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7636F52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6292DD4E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461834CE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藤径0.5-3cm（含）］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975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4E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8F1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9E5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64151671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3D9143A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FA70B27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未挂果，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藤径0.5cm以下（含）］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AE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9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EC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860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vAlign w:val="center"/>
          </w:tcPr>
          <w:p w14:paraId="2A3438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544" w:type="dxa"/>
            <w:vMerge w:val="restart"/>
            <w:vAlign w:val="center"/>
          </w:tcPr>
          <w:p w14:paraId="0C81D836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葡萄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D7F813F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大（挂果，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藤径3cm以上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DA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63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6D9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</w:tr>
      <w:tr w14:paraId="45A0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6E4FC3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615AF84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71A6F8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藤径0.5-3cm（含）］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9D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B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915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A9F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03E8F10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517BD83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0D72D726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未挂果，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藤径0.5cm以下（含）］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50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01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81F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544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0846AB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3E972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甘蔗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EDA5A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A5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3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543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533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restart"/>
            <w:shd w:val="clear" w:color="auto" w:fill="auto"/>
            <w:noWrap/>
            <w:vAlign w:val="center"/>
          </w:tcPr>
          <w:p w14:paraId="1A3705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B34A0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大蕉、香蕉、粉蕉、木瓜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293FFAA9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挂果，树高大于1.5m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74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8B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4D5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 w14:paraId="08AF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5406052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1E146CC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31BC4F5C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未挂果，树高大于1.5m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B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07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A2F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2830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vMerge w:val="continue"/>
            <w:vAlign w:val="center"/>
          </w:tcPr>
          <w:p w14:paraId="2412680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00090E6E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509F0C0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幼苗（树高小于1.5m）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D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3E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5D4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4FC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00" w:type="dxa"/>
            <w:shd w:val="clear" w:color="auto" w:fill="auto"/>
            <w:noWrap/>
            <w:vAlign w:val="center"/>
          </w:tcPr>
          <w:p w14:paraId="335281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14:paraId="3C8CAB4F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1.果树木按照清点数量、相应规格和补偿标准计算补偿费，计算的补偿费总额低于每亩最高补偿标准的，按计算的补偿费总额补偿，高于每亩最高补偿标准的，按每亩最高补偿标准补偿；</w:t>
            </w:r>
          </w:p>
          <w:p w14:paraId="37C2CA79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2.混种地块按亩补偿的以一种主果树（地块内占比最多的果树）作为补偿标准，地块内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种类果树、乔木类、灌木类不再补偿；</w:t>
            </w:r>
          </w:p>
          <w:p w14:paraId="61B26045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3.此标准中的“挂果”：指果树具备结果条件；</w:t>
            </w:r>
          </w:p>
          <w:p w14:paraId="56E43D8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.对于此标准未覆盖的品种及规格，补偿标准可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相近品种的标准或根据具体情况由有资质的机构进行评估，但每亩最高补偿棵数不得超过该果树科学种植的合理棵数。名贵品种应根据具体情况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20D5F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590"/>
        <w:textAlignment w:val="auto"/>
        <w:outlineLvl w:val="1"/>
        <w:rPr>
          <w:rFonts w:hint="eastAsia" w:ascii="楷体" w:hAnsi="楷体" w:eastAsia="楷体" w:cs="楷体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auto"/>
          <w:spacing w:val="0"/>
          <w:sz w:val="32"/>
          <w:szCs w:val="32"/>
          <w:lang w:eastAsia="zh-CN"/>
        </w:rPr>
        <w:t>（三） 竹木类补偿标准</w:t>
      </w:r>
    </w:p>
    <w:p w14:paraId="2148BB4D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竹木类补偿标准表</w:t>
      </w: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20"/>
        <w:gridCol w:w="2948"/>
        <w:gridCol w:w="1542"/>
        <w:gridCol w:w="1594"/>
        <w:gridCol w:w="1642"/>
      </w:tblGrid>
      <w:tr w14:paraId="2060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0C2BB2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60D6EC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2948" w:type="dxa"/>
            <w:vMerge w:val="restart"/>
            <w:shd w:val="clear" w:color="auto" w:fill="auto"/>
            <w:noWrap/>
            <w:vAlign w:val="center"/>
          </w:tcPr>
          <w:p w14:paraId="6BD672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CA0A0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零星种植</w:t>
            </w:r>
          </w:p>
        </w:tc>
        <w:tc>
          <w:tcPr>
            <w:tcW w:w="3236" w:type="dxa"/>
            <w:gridSpan w:val="2"/>
            <w:shd w:val="clear" w:color="auto" w:fill="auto"/>
            <w:noWrap/>
            <w:vAlign w:val="center"/>
          </w:tcPr>
          <w:p w14:paraId="31EE45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成片种植</w:t>
            </w:r>
          </w:p>
        </w:tc>
      </w:tr>
      <w:tr w14:paraId="5CC7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592" w:type="dxa"/>
            <w:vMerge w:val="continue"/>
            <w:vAlign w:val="center"/>
          </w:tcPr>
          <w:p w14:paraId="30C4D64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25652285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 w:val="continue"/>
            <w:vAlign w:val="center"/>
          </w:tcPr>
          <w:p w14:paraId="25AAF002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4B145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补偿标准（元∕棵）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FF94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种植密度（棵/亩）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77B07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</w:rPr>
              <w:t>最高补偿标准（元/亩）</w:t>
            </w:r>
          </w:p>
        </w:tc>
      </w:tr>
      <w:tr w14:paraId="611F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AFFEF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5C504F5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竹类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231732D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麻竹、毛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苗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竹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A82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AE8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密集种植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05BF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825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92" w:type="dxa"/>
            <w:vMerge w:val="continue"/>
            <w:vAlign w:val="center"/>
          </w:tcPr>
          <w:p w14:paraId="6A06B91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05DDB94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3F4AC89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黄竹、泥竹、丹竹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7577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E63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密集种植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2332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2DEE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499BB7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766269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杉、松、梧树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8BA2B20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特大棵（胸径超过25cm）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A7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69BE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70B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2047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2" w:type="dxa"/>
            <w:vMerge w:val="continue"/>
            <w:vAlign w:val="center"/>
          </w:tcPr>
          <w:p w14:paraId="571752A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6411927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57AB52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胸径15-25cm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16F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0B0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604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77A0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2" w:type="dxa"/>
            <w:vMerge w:val="continue"/>
            <w:vAlign w:val="center"/>
          </w:tcPr>
          <w:p w14:paraId="144A11F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6DB8D2C4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90DAE3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中棵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胸径8-15cm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F8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435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7835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0A1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2" w:type="dxa"/>
            <w:vMerge w:val="continue"/>
            <w:vAlign w:val="center"/>
          </w:tcPr>
          <w:p w14:paraId="7BABCCF8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14456F53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3BF9278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小棵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胸径小于8cm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D2F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9D3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72CE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5B6B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2" w:type="dxa"/>
            <w:vMerge w:val="restart"/>
            <w:vAlign w:val="center"/>
          </w:tcPr>
          <w:p w14:paraId="24793C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  <w:vAlign w:val="center"/>
          </w:tcPr>
          <w:p w14:paraId="56F204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桉树、杂树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09E133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大（胸径超过15cm）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046B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7FD4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7AC9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2BB4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92" w:type="dxa"/>
            <w:vMerge w:val="continue"/>
            <w:vAlign w:val="center"/>
          </w:tcPr>
          <w:p w14:paraId="0EE63980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68BDAC3B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2385910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胸径8-15cm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EE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5C4D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345D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 w14:paraId="2E38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2" w:type="dxa"/>
            <w:vMerge w:val="continue"/>
            <w:vAlign w:val="center"/>
          </w:tcPr>
          <w:p w14:paraId="1C40DA8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 w14:paraId="67A42627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14159CB">
            <w:pP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胸径小于8cm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含）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］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5D6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14:paraId="15F4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14:paraId="6DBA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2611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2" w:type="dxa"/>
            <w:shd w:val="clear" w:color="auto" w:fill="auto"/>
            <w:noWrap/>
            <w:vAlign w:val="center"/>
          </w:tcPr>
          <w:p w14:paraId="3066CE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9246" w:type="dxa"/>
            <w:gridSpan w:val="5"/>
            <w:shd w:val="clear" w:color="auto" w:fill="auto"/>
            <w:vAlign w:val="center"/>
          </w:tcPr>
          <w:p w14:paraId="03E011D5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1.对于可移植品种，补偿标准为竹木移植费用。对于不可移植或移植成活率低的品种，补偿标准为竹木补偿价值；</w:t>
            </w:r>
          </w:p>
          <w:p w14:paraId="09F96F7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2.竹木按照清点数量、相应规格和补偿标准计算补偿费，每亩种植密度达到成林标准数量的，按亩计价补偿。计算的补偿费总额低于每亩最高补偿标准的，按计算的补偿费总额补偿，高于每亩最高补偿标准的，按每亩最高补偿标准补偿；</w:t>
            </w:r>
          </w:p>
          <w:p w14:paraId="5038E45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3.混种地块按亩补偿的以主要种植树种（地块内占比最多的树木）作为补偿标准，地块内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种类树木不再补偿；</w:t>
            </w:r>
          </w:p>
          <w:p w14:paraId="40DC794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4.对于此标准未覆盖的品种及规格，补偿标准可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相近品种的标准或根据具体情况由有资质的机构进行评估，但每亩最高补偿棵数不得超过该树种科学种植的合理棵数。名贵品种应根据具体情况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31266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right="11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水产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  <w:t>养殖类补偿标准</w:t>
      </w:r>
    </w:p>
    <w:p w14:paraId="51D47CF7">
      <w:pPr>
        <w:spacing w:afterLines="50"/>
        <w:ind w:left="40" w:firstLine="550"/>
        <w:jc w:val="center"/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  <w:lang w:val="en-US" w:eastAsia="zh-CN"/>
        </w:rPr>
        <w:t>8 水产</w:t>
      </w:r>
      <w:r>
        <w:rPr>
          <w:rFonts w:hint="eastAsia" w:ascii="仿宋_GB2312" w:hAnsi="仿宋_GB2312" w:eastAsia="仿宋_GB2312" w:cs="仿宋_GB2312"/>
          <w:b/>
          <w:color w:val="auto"/>
          <w:spacing w:val="5"/>
          <w:sz w:val="28"/>
          <w:szCs w:val="28"/>
        </w:rPr>
        <w:t>养殖类补偿标准表</w:t>
      </w:r>
    </w:p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717"/>
        <w:gridCol w:w="824"/>
        <w:gridCol w:w="4392"/>
        <w:gridCol w:w="1729"/>
        <w:gridCol w:w="1713"/>
      </w:tblGrid>
      <w:tr w14:paraId="6BDF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tblHeader/>
          <w:jc w:val="center"/>
        </w:trPr>
        <w:tc>
          <w:tcPr>
            <w:tcW w:w="583" w:type="dxa"/>
            <w:shd w:val="clear" w:color="auto" w:fill="auto"/>
            <w:noWrap/>
            <w:vAlign w:val="center"/>
          </w:tcPr>
          <w:p w14:paraId="694E25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gridSpan w:val="2"/>
            <w:shd w:val="clear" w:color="auto" w:fill="auto"/>
            <w:noWrap/>
            <w:vAlign w:val="center"/>
          </w:tcPr>
          <w:p w14:paraId="52161E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4392" w:type="dxa"/>
            <w:shd w:val="clear" w:color="auto" w:fill="auto"/>
            <w:noWrap/>
            <w:vAlign w:val="center"/>
          </w:tcPr>
          <w:p w14:paraId="051E17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养殖产品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2FAA89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补偿标准</w:t>
            </w:r>
          </w:p>
          <w:p w14:paraId="657A7E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（元/亩）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14:paraId="0BF9E5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auto"/>
                <w:sz w:val="24"/>
                <w:szCs w:val="24"/>
              </w:rPr>
              <w:t>备注</w:t>
            </w:r>
          </w:p>
        </w:tc>
      </w:tr>
      <w:tr w14:paraId="27F1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83" w:type="dxa"/>
            <w:shd w:val="clear" w:color="auto" w:fill="auto"/>
            <w:noWrap/>
            <w:vAlign w:val="center"/>
          </w:tcPr>
          <w:p w14:paraId="00E7A2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</w:tcPr>
          <w:p w14:paraId="365796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水产类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1AE1E8A7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一般品种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173CCA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草鱼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鲩鱼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、鲢鱼、鳊鱼、鳙鱼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大头鱼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、鲫鱼类、鲈鱼类、鲮鱼、鲤鱼、各种罗非鱼、塘鲺、南方大头鲶、淡水白鲳及其他市场价格与前述相同或相近的鱼类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BA6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92DA1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不分主养或混养</w:t>
            </w:r>
          </w:p>
        </w:tc>
      </w:tr>
      <w:tr w14:paraId="0452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83" w:type="dxa"/>
            <w:shd w:val="clear" w:color="auto" w:fill="auto"/>
            <w:noWrap/>
            <w:vAlign w:val="center"/>
          </w:tcPr>
          <w:p w14:paraId="7D8B7A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717" w:type="dxa"/>
            <w:vMerge w:val="continue"/>
            <w:shd w:val="clear" w:color="auto" w:fill="auto"/>
            <w:noWrap/>
            <w:vAlign w:val="center"/>
          </w:tcPr>
          <w:p w14:paraId="56894F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  <w:noWrap/>
            <w:vAlign w:val="center"/>
          </w:tcPr>
          <w:p w14:paraId="07096C5A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优质品种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F456078">
            <w:pPr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龙虱、虾类、广东鲂（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val="en-US" w:eastAsia="zh-CN"/>
              </w:rPr>
              <w:t>边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  <w:lang w:eastAsia="zh-CN"/>
              </w:rPr>
              <w:t>鱼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sz w:val="24"/>
                <w:szCs w:val="24"/>
              </w:rPr>
              <w:t>、大眼鸡）、桂花鱼、黄骨鱼、生鱼、鳗鱼、甲鱼（水鱼）、蛙类及其他市场价格相近与前述相同或相近的鱼类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B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DDFE2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与一般鱼类混养的，按一般鱼类补偿</w:t>
            </w:r>
          </w:p>
        </w:tc>
      </w:tr>
      <w:tr w14:paraId="053E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124C939">
            <w:pPr>
              <w:kinsoku/>
              <w:autoSpaceDE/>
              <w:autoSpaceDN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napToGrid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9375" w:type="dxa"/>
            <w:gridSpan w:val="5"/>
          </w:tcPr>
          <w:p w14:paraId="03B5B69D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1.水产养殖补偿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搬迁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val="en-US" w:eastAsia="zh-CN"/>
              </w:rPr>
              <w:t>补偿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费；</w:t>
            </w:r>
          </w:p>
          <w:p w14:paraId="07B4BAAB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2.按养殖水面面积计算补偿，养殖水面面积是指正常养殖蓄水的水面面积；</w:t>
            </w:r>
          </w:p>
          <w:p w14:paraId="426DD758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3.征地红线内外水面相连，红线内施工期间红线外无法正常养殖的，原则上应当采取有效措施，确保红线外继续养殖，但措施费用高于红线外养殖损失补偿费的，红线内外养殖损失一并补偿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；</w:t>
            </w:r>
          </w:p>
          <w:p w14:paraId="0DEF6EC4"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4.对于此标准未覆盖项目，应根据具体情况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  <w:lang w:eastAsia="zh-CN"/>
              </w:rPr>
              <w:t>由有资质的机构进行评估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4"/>
              </w:rPr>
              <w:t>。</w:t>
            </w:r>
          </w:p>
        </w:tc>
      </w:tr>
    </w:tbl>
    <w:p w14:paraId="16823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right="0" w:firstLine="76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3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31"/>
          <w:sz w:val="32"/>
          <w:szCs w:val="32"/>
          <w:lang w:eastAsia="zh-CN"/>
        </w:rPr>
        <w:t>四、其他</w:t>
      </w:r>
    </w:p>
    <w:p w14:paraId="74F1F4A0">
      <w:pPr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ind w:left="0" w:right="12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（一）本标准由河源市自然资源局负责解释。</w:t>
      </w:r>
    </w:p>
    <w:p w14:paraId="5FE3E1ED">
      <w:pPr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ind w:left="0" w:right="12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日开始实施，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日失效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；河源市人民政府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日公布的《河源市人民政府关于印发河源市市区征地补偿指导标准的通知》（河府〔2017〕61号）同时废止。</w:t>
      </w:r>
    </w:p>
    <w:p w14:paraId="6764276B">
      <w:pPr>
        <w:spacing w:line="600" w:lineRule="exact"/>
        <w:ind w:firstLine="420" w:firstLineChars="200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CF2F4-7F5B-474E-9ED1-C1413BFC66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880D34A-F993-44EF-B013-66AEDAFD54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59D4240-2331-440A-8915-5B68CDE050E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6724426-DB54-4F2C-B496-0A2BC852F8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7421E6B-539B-4B6C-810B-26B15D947F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E72A44C-F710-4B8B-822F-22051C7AD7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2F51497-AAAD-423C-B718-3F53B12592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2D4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92343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92343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TlmYmI1OWVmMDgwYjNhZDg4OTk3MDdhMzM3YzYifQ=="/>
  </w:docVars>
  <w:rsids>
    <w:rsidRoot w:val="619C0D8F"/>
    <w:rsid w:val="092768F8"/>
    <w:rsid w:val="0A5F7C57"/>
    <w:rsid w:val="0A60541B"/>
    <w:rsid w:val="0FCE1079"/>
    <w:rsid w:val="117157CB"/>
    <w:rsid w:val="15243815"/>
    <w:rsid w:val="18FF26EE"/>
    <w:rsid w:val="194A25DD"/>
    <w:rsid w:val="194E14DF"/>
    <w:rsid w:val="1D3A00ED"/>
    <w:rsid w:val="1F4F3B2F"/>
    <w:rsid w:val="20151109"/>
    <w:rsid w:val="230554DD"/>
    <w:rsid w:val="23F41605"/>
    <w:rsid w:val="23FE7D27"/>
    <w:rsid w:val="24942B24"/>
    <w:rsid w:val="259E7089"/>
    <w:rsid w:val="26B446CD"/>
    <w:rsid w:val="277D1EAB"/>
    <w:rsid w:val="29C61FAD"/>
    <w:rsid w:val="2BEC30DB"/>
    <w:rsid w:val="2CB216AE"/>
    <w:rsid w:val="2E6010FC"/>
    <w:rsid w:val="2EA74B17"/>
    <w:rsid w:val="2F662F3C"/>
    <w:rsid w:val="300F6A0C"/>
    <w:rsid w:val="306F36FD"/>
    <w:rsid w:val="30D97FCE"/>
    <w:rsid w:val="31AC0DC2"/>
    <w:rsid w:val="32EB5E3C"/>
    <w:rsid w:val="351C6844"/>
    <w:rsid w:val="36AE1AA7"/>
    <w:rsid w:val="37722716"/>
    <w:rsid w:val="38584751"/>
    <w:rsid w:val="3BED1827"/>
    <w:rsid w:val="3C1A7543"/>
    <w:rsid w:val="3D357B2B"/>
    <w:rsid w:val="3DFF671E"/>
    <w:rsid w:val="3E0F359E"/>
    <w:rsid w:val="3F1616D9"/>
    <w:rsid w:val="3F422D66"/>
    <w:rsid w:val="40740C8A"/>
    <w:rsid w:val="40DF5170"/>
    <w:rsid w:val="4588349D"/>
    <w:rsid w:val="4828693E"/>
    <w:rsid w:val="4A14232E"/>
    <w:rsid w:val="4A1D135E"/>
    <w:rsid w:val="4E760F07"/>
    <w:rsid w:val="51844B18"/>
    <w:rsid w:val="561B52F1"/>
    <w:rsid w:val="56903933"/>
    <w:rsid w:val="5B411419"/>
    <w:rsid w:val="5D4B5084"/>
    <w:rsid w:val="5E4A70E9"/>
    <w:rsid w:val="619C0D8F"/>
    <w:rsid w:val="63FB3889"/>
    <w:rsid w:val="64BC70EB"/>
    <w:rsid w:val="681C4E2E"/>
    <w:rsid w:val="6AA524EB"/>
    <w:rsid w:val="6E427DDD"/>
    <w:rsid w:val="70392CB9"/>
    <w:rsid w:val="7319146E"/>
    <w:rsid w:val="76EA69FD"/>
    <w:rsid w:val="78CB11D5"/>
    <w:rsid w:val="78E7465A"/>
    <w:rsid w:val="7A605869"/>
    <w:rsid w:val="7ADE0E8D"/>
    <w:rsid w:val="7CD03CAA"/>
    <w:rsid w:val="7D270A72"/>
    <w:rsid w:val="7EF924F2"/>
    <w:rsid w:val="7F3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河源市自然资源局</Company>
  <Pages>9</Pages>
  <Words>708</Words>
  <Characters>761</Characters>
  <Lines>0</Lines>
  <Paragraphs>0</Paragraphs>
  <TotalTime>34</TotalTime>
  <ScaleCrop>false</ScaleCrop>
  <LinksUpToDate>false</LinksUpToDate>
  <CharactersWithSpaces>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2024-01-15T06:41:00Z</dcterms:created>
  <dc:creator>罗少健</dc:creator>
  <cp:lastModifiedBy>害羞～乖乖喵</cp:lastModifiedBy>
  <cp:lastPrinted>2025-04-23T02:29:00Z</cp:lastPrinted>
  <dcterms:modified xsi:type="dcterms:W3CDTF">2025-04-23T07:06:12Z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D86B4AEDEA0C4FC2B220589700DB47B1_11</vt:lpwstr>
  </property>
  <property fmtid="{D5CDD505-2E9C-101B-9397-08002B2CF9AE}" pid="4" name="showFlag">
    <vt:bool>false</vt:bool>
  </property>
  <property fmtid="{D5CDD505-2E9C-101B-9397-08002B2CF9AE}" pid="5" name="KSOTemplateDocerSaveRecord">
    <vt:lpwstr>eyJoZGlkIjoiYWRkMmNlNGVhMGEyOTQ4NjFkYmY5MmZmMGQ5YzBmMzMiLCJ1c2VySWQiOiIzNzE0NjU4MTMifQ==</vt:lpwstr>
  </property>
</Properties>
</file>