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kinsoku/>
        <w:wordWrap/>
        <w:overflowPunct/>
        <w:topLinePunct w:val="0"/>
        <w:autoSpaceDE/>
        <w:autoSpaceDN/>
        <w:bidi w:val="0"/>
        <w:adjustRightInd/>
        <w:snapToGrid/>
        <w:spacing w:before="0" w:after="0" w:line="600" w:lineRule="exact"/>
        <w:jc w:val="left"/>
        <w:textAlignment w:val="auto"/>
        <w:rPr>
          <w:rFonts w:hint="eastAsia" w:asciiTheme="minorEastAsia" w:hAnsiTheme="minorEastAsia" w:eastAsiaTheme="minorEastAsia" w:cstheme="minorEastAsia"/>
          <w:b w:val="0"/>
          <w:bCs w:val="0"/>
          <w:color w:val="auto"/>
          <w:position w:val="0"/>
          <w:sz w:val="32"/>
          <w:szCs w:val="32"/>
          <w:u w:val="none"/>
          <w:lang w:val="en-US" w:eastAsia="zh-CN"/>
        </w:rPr>
      </w:pPr>
      <w:r>
        <w:rPr>
          <w:rFonts w:hint="eastAsia" w:asciiTheme="minorEastAsia" w:hAnsiTheme="minorEastAsia" w:eastAsiaTheme="minorEastAsia" w:cstheme="minorEastAsia"/>
          <w:b w:val="0"/>
          <w:bCs w:val="0"/>
          <w:color w:val="auto"/>
          <w:position w:val="0"/>
          <w:sz w:val="32"/>
          <w:szCs w:val="32"/>
          <w:u w:val="none"/>
          <w:lang w:val="en-US" w:eastAsia="zh-CN"/>
        </w:rPr>
        <w:t>附件：</w:t>
      </w:r>
    </w:p>
    <w:p>
      <w:pPr>
        <w:rPr>
          <w:rFonts w:hint="default"/>
          <w:lang w:val="en-US" w:eastAsia="zh-CN"/>
        </w:rPr>
      </w:pPr>
    </w:p>
    <w:p>
      <w:pPr>
        <w:pStyle w:val="3"/>
        <w:keepNext w:val="0"/>
        <w:keepLines w:val="0"/>
        <w:pageBreakBefore w:val="0"/>
        <w:kinsoku/>
        <w:wordWrap/>
        <w:overflowPunct/>
        <w:topLinePunct w:val="0"/>
        <w:autoSpaceDE/>
        <w:autoSpaceDN/>
        <w:bidi w:val="0"/>
        <w:adjustRightInd/>
        <w:snapToGrid/>
        <w:spacing w:before="0" w:after="0" w:line="600" w:lineRule="exact"/>
        <w:jc w:val="center"/>
        <w:textAlignment w:val="auto"/>
        <w:rPr>
          <w:rFonts w:hint="eastAsia" w:ascii="仿宋" w:hAnsi="仿宋" w:eastAsia="仿宋" w:cs="仿宋"/>
          <w:b w:val="0"/>
          <w:bCs w:val="0"/>
          <w:color w:val="auto"/>
          <w:position w:val="0"/>
          <w:sz w:val="44"/>
          <w:szCs w:val="44"/>
          <w:lang w:val="en-US" w:eastAsia="zh-CN"/>
        </w:rPr>
      </w:pPr>
      <w:r>
        <w:rPr>
          <w:rFonts w:hint="eastAsia" w:ascii="方正小标宋简体" w:hAnsi="方正小标宋简体" w:eastAsia="方正小标宋简体" w:cs="方正小标宋简体"/>
          <w:b w:val="0"/>
          <w:bCs w:val="0"/>
          <w:color w:val="auto"/>
          <w:position w:val="0"/>
          <w:sz w:val="44"/>
          <w:szCs w:val="44"/>
          <w:u w:val="none"/>
          <w:lang w:val="en-US" w:eastAsia="zh-CN"/>
        </w:rPr>
        <w:t>河源市</w:t>
      </w:r>
      <w:r>
        <w:rPr>
          <w:rFonts w:hint="eastAsia" w:ascii="方正小标宋简体" w:hAnsi="方正小标宋简体" w:eastAsia="方正小标宋简体" w:cs="方正小标宋简体"/>
          <w:b w:val="0"/>
          <w:bCs w:val="0"/>
          <w:color w:val="auto"/>
          <w:position w:val="0"/>
          <w:sz w:val="44"/>
          <w:szCs w:val="44"/>
          <w:u w:val="none"/>
        </w:rPr>
        <w:t>职业病防治</w:t>
      </w:r>
      <w:r>
        <w:rPr>
          <w:rFonts w:hint="eastAsia" w:ascii="方正小标宋简体" w:hAnsi="方正小标宋简体" w:eastAsia="方正小标宋简体" w:cs="方正小标宋简体"/>
          <w:b w:val="0"/>
          <w:bCs w:val="0"/>
          <w:color w:val="auto"/>
          <w:position w:val="0"/>
          <w:sz w:val="44"/>
          <w:szCs w:val="44"/>
          <w:u w:val="none"/>
          <w:lang w:eastAsia="zh-CN"/>
        </w:rPr>
        <w:t>“</w:t>
      </w:r>
      <w:r>
        <w:rPr>
          <w:rFonts w:hint="eastAsia" w:ascii="方正小标宋简体" w:hAnsi="方正小标宋简体" w:eastAsia="方正小标宋简体" w:cs="方正小标宋简体"/>
          <w:b w:val="0"/>
          <w:bCs w:val="0"/>
          <w:color w:val="auto"/>
          <w:position w:val="0"/>
          <w:sz w:val="44"/>
          <w:szCs w:val="44"/>
          <w:u w:val="none"/>
          <w:lang w:val="en-US" w:eastAsia="zh-CN"/>
        </w:rPr>
        <w:t>十四五</w:t>
      </w:r>
      <w:r>
        <w:rPr>
          <w:rFonts w:hint="eastAsia" w:ascii="方正小标宋简体" w:hAnsi="方正小标宋简体" w:eastAsia="方正小标宋简体" w:cs="方正小标宋简体"/>
          <w:b w:val="0"/>
          <w:bCs w:val="0"/>
          <w:color w:val="auto"/>
          <w:position w:val="0"/>
          <w:sz w:val="44"/>
          <w:szCs w:val="44"/>
          <w:u w:val="none"/>
          <w:lang w:eastAsia="zh-CN"/>
        </w:rPr>
        <w:t>”</w:t>
      </w:r>
      <w:r>
        <w:rPr>
          <w:rFonts w:hint="eastAsia" w:ascii="方正小标宋简体" w:hAnsi="方正小标宋简体" w:eastAsia="方正小标宋简体" w:cs="方正小标宋简体"/>
          <w:b w:val="0"/>
          <w:bCs w:val="0"/>
          <w:color w:val="auto"/>
          <w:position w:val="0"/>
          <w:sz w:val="44"/>
          <w:szCs w:val="44"/>
          <w:u w:val="none"/>
        </w:rPr>
        <w:t>规划</w:t>
      </w:r>
    </w:p>
    <w:p>
      <w:pPr>
        <w:pStyle w:val="3"/>
        <w:keepNext w:val="0"/>
        <w:keepLines w:val="0"/>
        <w:pageBreakBefore w:val="0"/>
        <w:kinsoku/>
        <w:wordWrap/>
        <w:overflowPunct/>
        <w:topLinePunct w:val="0"/>
        <w:autoSpaceDE/>
        <w:autoSpaceDN/>
        <w:bidi w:val="0"/>
        <w:adjustRightInd/>
        <w:snapToGrid/>
        <w:spacing w:before="0" w:after="0" w:line="600" w:lineRule="exact"/>
        <w:ind w:firstLine="640" w:firstLineChars="200"/>
        <w:jc w:val="center"/>
        <w:textAlignment w:val="auto"/>
        <w:rPr>
          <w:rFonts w:hint="eastAsia" w:ascii="仿宋" w:hAnsi="仿宋" w:eastAsia="仿宋" w:cs="仿宋"/>
          <w:b w:val="0"/>
          <w:bCs w:val="0"/>
          <w:color w:val="auto"/>
          <w:position w:val="0"/>
          <w:lang w:val="en-US" w:eastAsia="zh-CN"/>
        </w:rPr>
      </w:pPr>
      <w:r>
        <w:rPr>
          <w:rFonts w:hint="eastAsia" w:ascii="仿宋" w:hAnsi="仿宋" w:eastAsia="仿宋" w:cs="仿宋"/>
          <w:b w:val="0"/>
          <w:bCs w:val="0"/>
          <w:color w:val="auto"/>
          <w:position w:val="0"/>
          <w:lang w:val="en-US" w:eastAsia="zh-CN"/>
        </w:rPr>
        <w:t>（征求意见稿）</w:t>
      </w:r>
    </w:p>
    <w:p>
      <w:pPr>
        <w:rPr>
          <w:rFonts w:hint="eastAsia"/>
          <w:lang w:val="en-US" w:eastAsia="zh-CN"/>
        </w:rPr>
      </w:pPr>
    </w:p>
    <w:p>
      <w:pPr>
        <w:pStyle w:val="4"/>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position w:val="0"/>
          <w:lang w:val="en-US" w:eastAsia="zh-CN"/>
        </w:rPr>
      </w:pPr>
      <w:r>
        <w:rPr>
          <w:rFonts w:hint="eastAsia"/>
          <w:position w:val="0"/>
          <w:lang w:val="en-US" w:eastAsia="zh-CN"/>
        </w:rPr>
        <w:t>为进一步提升我市职业病防治工作水平，更好地保障劳动者职业健康权益，根据</w:t>
      </w:r>
      <w:r>
        <w:rPr>
          <w:rFonts w:hint="eastAsia"/>
          <w:position w:val="0"/>
        </w:rPr>
        <w:t>《中华人民共和国职业病防治法》《中华人民共和国基本医疗卫生与健康促进法》</w:t>
      </w:r>
      <w:r>
        <w:rPr>
          <w:rFonts w:hint="eastAsia"/>
          <w:position w:val="0"/>
          <w:lang w:val="en-US" w:eastAsia="zh-CN"/>
        </w:rPr>
        <w:t>等法律法规</w:t>
      </w:r>
      <w:r>
        <w:rPr>
          <w:rFonts w:hint="eastAsia"/>
          <w:position w:val="0"/>
        </w:rPr>
        <w:t>以及</w:t>
      </w:r>
      <w:r>
        <w:rPr>
          <w:rFonts w:hint="eastAsia"/>
          <w:position w:val="0"/>
          <w:lang w:eastAsia="zh-CN"/>
        </w:rPr>
        <w:t>《广东省职业病防治“</w:t>
      </w:r>
      <w:r>
        <w:rPr>
          <w:rFonts w:hint="eastAsia"/>
          <w:position w:val="0"/>
          <w:lang w:val="en-US" w:eastAsia="zh-CN"/>
        </w:rPr>
        <w:t>十四五</w:t>
      </w:r>
      <w:r>
        <w:rPr>
          <w:rFonts w:hint="eastAsia"/>
          <w:position w:val="0"/>
          <w:lang w:eastAsia="zh-CN"/>
        </w:rPr>
        <w:t>”规划》</w:t>
      </w:r>
      <w:r>
        <w:rPr>
          <w:rFonts w:hint="eastAsia"/>
          <w:position w:val="0"/>
          <w:lang w:val="en-US" w:eastAsia="zh-CN"/>
        </w:rPr>
        <w:t>《健康河源“2030”规划》</w:t>
      </w:r>
      <w:r>
        <w:rPr>
          <w:rFonts w:hint="eastAsia"/>
          <w:position w:val="0"/>
          <w:lang w:eastAsia="zh-CN"/>
        </w:rPr>
        <w:t>《河源市卫生健康事业发展“十四五”规划》</w:t>
      </w:r>
      <w:r>
        <w:rPr>
          <w:rFonts w:hint="eastAsia"/>
          <w:position w:val="0"/>
          <w:lang w:val="en-US" w:eastAsia="zh-CN"/>
        </w:rPr>
        <w:t>等要求</w:t>
      </w:r>
      <w:r>
        <w:rPr>
          <w:rFonts w:hint="eastAsia"/>
          <w:position w:val="0"/>
        </w:rPr>
        <w:t>，</w:t>
      </w:r>
      <w:r>
        <w:rPr>
          <w:rFonts w:hint="eastAsia"/>
          <w:position w:val="0"/>
          <w:lang w:val="en-US" w:eastAsia="zh-CN"/>
        </w:rPr>
        <w:t>制定本规划。</w:t>
      </w:r>
    </w:p>
    <w:p>
      <w:pPr>
        <w:keepNext w:val="0"/>
        <w:keepLines w:val="0"/>
        <w:pageBreakBefore w:val="0"/>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color w:val="auto"/>
          <w:position w:val="0"/>
          <w:sz w:val="32"/>
          <w:szCs w:val="20"/>
          <w:lang w:val="en-US"/>
        </w:rPr>
      </w:pPr>
      <w:r>
        <w:rPr>
          <w:rFonts w:hint="eastAsia" w:ascii="仿宋" w:hAnsi="仿宋" w:eastAsia="仿宋" w:cs="仿宋"/>
          <w:b w:val="0"/>
          <w:bCs w:val="0"/>
          <w:color w:val="auto"/>
          <w:position w:val="0"/>
          <w:lang w:val="en-US" w:eastAsia="zh-CN"/>
        </w:rPr>
        <w:t xml:space="preserve">     </w:t>
      </w:r>
      <w:r>
        <w:rPr>
          <w:rFonts w:hint="default" w:ascii="Times New Roman" w:hAnsi="Times New Roman" w:eastAsia="仿宋_GB2312" w:cs="Times New Roman"/>
          <w:color w:val="auto"/>
          <w:position w:val="0"/>
          <w:sz w:val="32"/>
          <w:szCs w:val="20"/>
          <w:lang w:val="en-US" w:eastAsia="zh-CN"/>
        </w:rPr>
        <w:t xml:space="preserve"> </w:t>
      </w:r>
      <w:r>
        <w:rPr>
          <w:rFonts w:hint="default" w:ascii="Times New Roman" w:hAnsi="Times New Roman" w:eastAsia="黑体" w:cs="Times New Roman"/>
          <w:color w:val="auto"/>
          <w:position w:val="0"/>
          <w:sz w:val="32"/>
          <w:szCs w:val="20"/>
        </w:rPr>
        <w:t>一、</w:t>
      </w:r>
      <w:r>
        <w:rPr>
          <w:rFonts w:hint="default" w:ascii="Times New Roman" w:hAnsi="Times New Roman" w:eastAsia="黑体" w:cs="Times New Roman"/>
          <w:color w:val="auto"/>
          <w:position w:val="0"/>
          <w:sz w:val="32"/>
          <w:szCs w:val="20"/>
          <w:lang w:eastAsia="zh-CN"/>
        </w:rPr>
        <w:t>我</w:t>
      </w:r>
      <w:r>
        <w:rPr>
          <w:rFonts w:hint="eastAsia" w:eastAsia="黑体" w:cs="Times New Roman"/>
          <w:color w:val="auto"/>
          <w:position w:val="0"/>
          <w:sz w:val="32"/>
          <w:szCs w:val="20"/>
          <w:lang w:val="en-US" w:eastAsia="zh-CN"/>
        </w:rPr>
        <w:t>市</w:t>
      </w:r>
      <w:r>
        <w:rPr>
          <w:rFonts w:hint="default" w:ascii="Times New Roman" w:hAnsi="Times New Roman" w:eastAsia="黑体" w:cs="Times New Roman"/>
          <w:color w:val="auto"/>
          <w:position w:val="0"/>
          <w:sz w:val="32"/>
          <w:szCs w:val="20"/>
          <w:lang w:eastAsia="zh-CN"/>
        </w:rPr>
        <w:t>职业健康现状</w:t>
      </w:r>
      <w:r>
        <w:rPr>
          <w:rFonts w:hint="eastAsia" w:eastAsia="黑体" w:cs="Times New Roman"/>
          <w:color w:val="auto"/>
          <w:position w:val="0"/>
          <w:sz w:val="32"/>
          <w:szCs w:val="20"/>
          <w:lang w:val="en-US" w:eastAsia="zh-CN"/>
        </w:rPr>
        <w:t>和问题</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 w:hAnsi="仿宋" w:eastAsia="仿宋" w:cs="仿宋"/>
          <w:b w:val="0"/>
          <w:bCs w:val="0"/>
          <w:color w:val="auto"/>
          <w:kern w:val="2"/>
          <w:position w:val="0"/>
          <w:sz w:val="32"/>
          <w:szCs w:val="32"/>
          <w:lang w:val="en-US" w:eastAsia="zh-CN" w:bidi="ar-SA"/>
        </w:rPr>
      </w:pPr>
      <w:r>
        <w:rPr>
          <w:rFonts w:hint="eastAsia"/>
          <w:color w:val="auto"/>
          <w:position w:val="0"/>
          <w:lang w:val="en-US" w:eastAsia="zh-CN"/>
        </w:rPr>
        <w:t xml:space="preserve">      </w:t>
      </w:r>
      <w:r>
        <w:rPr>
          <w:rFonts w:hint="eastAsia" w:ascii="仿宋" w:hAnsi="仿宋" w:eastAsia="仿宋" w:cs="仿宋"/>
          <w:b w:val="0"/>
          <w:bCs w:val="0"/>
          <w:color w:val="auto"/>
          <w:kern w:val="2"/>
          <w:position w:val="0"/>
          <w:sz w:val="32"/>
          <w:szCs w:val="32"/>
          <w:lang w:val="en-US" w:eastAsia="zh-CN" w:bidi="ar-SA"/>
        </w:rPr>
        <w:t>职业病防治“十三五”规划实施以来，在市委、市政府的坚强领导下,我市各级各部门认真贯彻落实党中央、国务院、省委、省政府决策部署和市委、市政府有关要求，强化部门间协同配合，</w:t>
      </w:r>
      <w:bookmarkStart w:id="0" w:name="_GoBack"/>
      <w:bookmarkEnd w:id="0"/>
      <w:r>
        <w:rPr>
          <w:rFonts w:hint="eastAsia" w:ascii="仿宋" w:hAnsi="仿宋" w:eastAsia="仿宋" w:cs="仿宋"/>
          <w:b w:val="0"/>
          <w:bCs w:val="0"/>
          <w:color w:val="auto"/>
          <w:kern w:val="2"/>
          <w:position w:val="0"/>
          <w:sz w:val="32"/>
          <w:szCs w:val="32"/>
          <w:lang w:val="en-US" w:eastAsia="zh-CN" w:bidi="ar-SA"/>
        </w:rPr>
        <w:t>大力推进尘肺病防治攻坚行动，着力改善工作场所劳动条件，职业卫生监管水平明显提升，防治服务能力显著增强，重点职业病监测和评估预警能力得到提升，救治救助和工伤保险保障水平不断提高，劳动者的职业健康权益得到切实保障。接尘工龄不足5年的劳动者新发尘肺病报告例数占年度报告总例数的比例逐年下降，未发生重大急性职业病危害事故、慢性职业性化学中毒、急性职业性放射性疾病事件，每年新发职业病报告数维持在小于10例的低水平。</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b w:val="0"/>
          <w:bCs w:val="0"/>
          <w:color w:val="auto"/>
          <w:kern w:val="2"/>
          <w:position w:val="0"/>
          <w:sz w:val="32"/>
          <w:szCs w:val="32"/>
          <w:lang w:val="en-US" w:eastAsia="zh-CN" w:bidi="ar-SA"/>
        </w:rPr>
      </w:pPr>
      <w:r>
        <w:rPr>
          <w:rFonts w:hint="eastAsia" w:ascii="仿宋" w:hAnsi="仿宋" w:eastAsia="仿宋" w:cs="仿宋"/>
          <w:b w:val="0"/>
          <w:bCs w:val="0"/>
          <w:color w:val="auto"/>
          <w:kern w:val="2"/>
          <w:position w:val="0"/>
          <w:sz w:val="32"/>
          <w:szCs w:val="32"/>
          <w:lang w:val="en-US" w:eastAsia="zh-CN" w:bidi="ar-SA"/>
        </w:rPr>
        <w:t>随着健康河源战略的全面实施，</w:t>
      </w:r>
      <w:r>
        <w:rPr>
          <w:rFonts w:hint="default" w:ascii="仿宋" w:hAnsi="仿宋" w:eastAsia="仿宋" w:cs="仿宋"/>
          <w:b w:val="0"/>
          <w:bCs w:val="0"/>
          <w:color w:val="auto"/>
          <w:kern w:val="2"/>
          <w:position w:val="0"/>
          <w:sz w:val="32"/>
          <w:szCs w:val="32"/>
          <w:lang w:val="en-US" w:eastAsia="zh-CN" w:bidi="ar-SA"/>
        </w:rPr>
        <w:t>“十四五”期间</w:t>
      </w:r>
      <w:r>
        <w:rPr>
          <w:rFonts w:hint="eastAsia" w:ascii="仿宋" w:hAnsi="仿宋" w:eastAsia="仿宋" w:cs="仿宋"/>
          <w:b w:val="0"/>
          <w:bCs w:val="0"/>
          <w:color w:val="auto"/>
          <w:kern w:val="2"/>
          <w:position w:val="0"/>
          <w:sz w:val="32"/>
          <w:szCs w:val="32"/>
          <w:lang w:val="en-US" w:eastAsia="zh-CN" w:bidi="ar-SA"/>
        </w:rPr>
        <w:t>保障劳动者职业健康</w:t>
      </w:r>
      <w:r>
        <w:rPr>
          <w:rFonts w:hint="default" w:ascii="仿宋" w:hAnsi="仿宋" w:eastAsia="仿宋" w:cs="仿宋"/>
          <w:b w:val="0"/>
          <w:bCs w:val="0"/>
          <w:color w:val="auto"/>
          <w:kern w:val="2"/>
          <w:position w:val="0"/>
          <w:sz w:val="32"/>
          <w:szCs w:val="32"/>
          <w:lang w:val="en-US" w:eastAsia="zh-CN" w:bidi="ar-SA"/>
        </w:rPr>
        <w:t>工作</w:t>
      </w:r>
      <w:r>
        <w:rPr>
          <w:rFonts w:hint="eastAsia" w:ascii="仿宋" w:hAnsi="仿宋" w:eastAsia="仿宋" w:cs="仿宋"/>
          <w:b w:val="0"/>
          <w:bCs w:val="0"/>
          <w:color w:val="auto"/>
          <w:kern w:val="2"/>
          <w:position w:val="0"/>
          <w:sz w:val="32"/>
          <w:szCs w:val="32"/>
          <w:lang w:val="en-US" w:eastAsia="zh-CN" w:bidi="ar-SA"/>
        </w:rPr>
        <w:t>面临新的形势和要求</w:t>
      </w:r>
      <w:r>
        <w:rPr>
          <w:rFonts w:hint="default" w:ascii="仿宋" w:hAnsi="仿宋" w:eastAsia="仿宋" w:cs="仿宋"/>
          <w:b w:val="0"/>
          <w:bCs w:val="0"/>
          <w:color w:val="auto"/>
          <w:kern w:val="2"/>
          <w:position w:val="0"/>
          <w:sz w:val="32"/>
          <w:szCs w:val="32"/>
          <w:lang w:val="en-US" w:eastAsia="zh-CN" w:bidi="ar-SA"/>
        </w:rPr>
        <w:t>：</w:t>
      </w:r>
      <w:r>
        <w:rPr>
          <w:rFonts w:hint="default" w:ascii="仿宋" w:hAnsi="仿宋" w:eastAsia="仿宋" w:cs="仿宋"/>
          <w:b/>
          <w:bCs/>
          <w:color w:val="auto"/>
          <w:kern w:val="2"/>
          <w:position w:val="0"/>
          <w:sz w:val="32"/>
          <w:szCs w:val="32"/>
          <w:lang w:val="en-US" w:eastAsia="zh-CN" w:bidi="ar-SA"/>
        </w:rPr>
        <w:t>一是</w:t>
      </w:r>
      <w:r>
        <w:rPr>
          <w:rFonts w:hint="default" w:ascii="仿宋" w:hAnsi="仿宋" w:eastAsia="仿宋" w:cs="仿宋"/>
          <w:b w:val="0"/>
          <w:bCs w:val="0"/>
          <w:color w:val="auto"/>
          <w:kern w:val="2"/>
          <w:position w:val="0"/>
          <w:sz w:val="32"/>
          <w:szCs w:val="32"/>
          <w:lang w:val="en-US" w:eastAsia="zh-CN" w:bidi="ar-SA"/>
        </w:rPr>
        <w:t>新旧职业病危害交织叠加，尘毒、噪声等传统危害未得到根本治理，新工业新技术新材料应用带来的新职业病风险不断加大，</w:t>
      </w:r>
      <w:r>
        <w:rPr>
          <w:rFonts w:hint="eastAsia" w:ascii="仿宋" w:hAnsi="仿宋" w:eastAsia="仿宋" w:cs="仿宋"/>
          <w:b w:val="0"/>
          <w:bCs w:val="0"/>
          <w:color w:val="auto"/>
          <w:kern w:val="2"/>
          <w:position w:val="0"/>
          <w:sz w:val="32"/>
          <w:szCs w:val="32"/>
          <w:lang w:val="en-US" w:eastAsia="zh-CN" w:bidi="ar-SA"/>
        </w:rPr>
        <w:t>工作压力、肌肉骨骼疾患等</w:t>
      </w:r>
      <w:r>
        <w:rPr>
          <w:rFonts w:hint="default" w:ascii="仿宋" w:hAnsi="仿宋" w:eastAsia="仿宋" w:cs="仿宋"/>
          <w:b w:val="0"/>
          <w:bCs w:val="0"/>
          <w:color w:val="auto"/>
          <w:kern w:val="2"/>
          <w:position w:val="0"/>
          <w:sz w:val="32"/>
          <w:szCs w:val="32"/>
          <w:lang w:val="en-US" w:eastAsia="zh-CN" w:bidi="ar-SA"/>
        </w:rPr>
        <w:t>工作相关疾病问题日益显现。</w:t>
      </w:r>
      <w:r>
        <w:rPr>
          <w:rFonts w:hint="eastAsia" w:ascii="仿宋" w:hAnsi="仿宋" w:eastAsia="仿宋" w:cs="仿宋"/>
          <w:b/>
          <w:bCs/>
          <w:color w:val="auto"/>
          <w:kern w:val="2"/>
          <w:position w:val="0"/>
          <w:sz w:val="32"/>
          <w:szCs w:val="32"/>
          <w:lang w:val="en-US" w:eastAsia="zh-CN" w:bidi="ar-SA"/>
        </w:rPr>
        <w:t>二是</w:t>
      </w:r>
      <w:r>
        <w:rPr>
          <w:rFonts w:hint="eastAsia" w:ascii="仿宋" w:hAnsi="仿宋" w:eastAsia="仿宋" w:cs="仿宋"/>
          <w:b w:val="0"/>
          <w:bCs w:val="0"/>
          <w:color w:val="auto"/>
          <w:kern w:val="2"/>
          <w:position w:val="0"/>
          <w:sz w:val="32"/>
          <w:szCs w:val="32"/>
          <w:lang w:val="en-US" w:eastAsia="zh-CN" w:bidi="ar-SA"/>
        </w:rPr>
        <w:t>部分用人单位尤其是中小微企业主体责任落实不到位，法治意识不强，农民工、劳务派遣人员等群体的职业健康保障有待进一步加强。</w:t>
      </w:r>
      <w:r>
        <w:rPr>
          <w:rFonts w:hint="eastAsia" w:ascii="仿宋" w:hAnsi="仿宋" w:eastAsia="仿宋" w:cs="仿宋"/>
          <w:b/>
          <w:bCs/>
          <w:color w:val="auto"/>
          <w:kern w:val="2"/>
          <w:position w:val="0"/>
          <w:sz w:val="32"/>
          <w:szCs w:val="32"/>
          <w:lang w:val="en-US" w:eastAsia="zh-CN" w:bidi="ar-SA"/>
        </w:rPr>
        <w:t>三是</w:t>
      </w:r>
      <w:r>
        <w:rPr>
          <w:rFonts w:hint="eastAsia" w:ascii="仿宋" w:hAnsi="仿宋" w:eastAsia="仿宋" w:cs="仿宋"/>
          <w:b w:val="0"/>
          <w:bCs w:val="0"/>
          <w:color w:val="auto"/>
          <w:kern w:val="2"/>
          <w:position w:val="0"/>
          <w:sz w:val="32"/>
          <w:szCs w:val="32"/>
          <w:lang w:val="en-US" w:eastAsia="zh-CN" w:bidi="ar-SA"/>
        </w:rPr>
        <w:t>职业病防治技术支撑体系和技术服务能力建设总体水平难以满足新时期发展需要，职业健康宣传教育和社会共识水平有待进一步提升。</w:t>
      </w:r>
      <w:r>
        <w:rPr>
          <w:rFonts w:hint="eastAsia" w:ascii="仿宋" w:hAnsi="仿宋" w:eastAsia="仿宋" w:cs="仿宋"/>
          <w:b/>
          <w:bCs/>
          <w:color w:val="auto"/>
          <w:kern w:val="2"/>
          <w:position w:val="0"/>
          <w:sz w:val="32"/>
          <w:szCs w:val="32"/>
          <w:lang w:val="en-US" w:eastAsia="zh-CN" w:bidi="ar-SA"/>
        </w:rPr>
        <w:t>四是</w:t>
      </w:r>
      <w:r>
        <w:rPr>
          <w:rFonts w:hint="eastAsia" w:ascii="仿宋" w:hAnsi="仿宋" w:eastAsia="仿宋" w:cs="仿宋"/>
          <w:b w:val="0"/>
          <w:bCs w:val="0"/>
          <w:color w:val="auto"/>
          <w:kern w:val="2"/>
          <w:position w:val="0"/>
          <w:sz w:val="32"/>
          <w:szCs w:val="32"/>
          <w:lang w:val="en-US" w:eastAsia="zh-CN" w:bidi="ar-SA"/>
        </w:rPr>
        <w:t>各级职业健康监管的执法力量与繁重的监管任务不相匹配，管理方式方法有待进一步改进，执法力度有待进一步加大，风险管控有待进一步加强。</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黑体" w:cs="Times New Roman"/>
          <w:color w:val="auto"/>
          <w:position w:val="0"/>
          <w:sz w:val="32"/>
          <w:szCs w:val="20"/>
        </w:rPr>
      </w:pPr>
      <w:r>
        <w:rPr>
          <w:rFonts w:hint="default" w:ascii="Times New Roman" w:hAnsi="Times New Roman" w:eastAsia="黑体" w:cs="Times New Roman"/>
          <w:color w:val="auto"/>
          <w:position w:val="0"/>
          <w:sz w:val="32"/>
          <w:szCs w:val="20"/>
        </w:rPr>
        <w:t>二、总体要求</w:t>
      </w:r>
    </w:p>
    <w:p>
      <w:pPr>
        <w:keepNext w:val="0"/>
        <w:keepLines w:val="0"/>
        <w:pageBreakBefore w:val="0"/>
        <w:widowControl/>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default" w:ascii="Times New Roman" w:hAnsi="Times New Roman" w:eastAsia="楷体_GB2312" w:cs="Times New Roman"/>
          <w:color w:val="auto"/>
          <w:position w:val="0"/>
          <w:sz w:val="32"/>
          <w:szCs w:val="20"/>
          <w:lang w:val="en-US" w:eastAsia="zh-CN"/>
        </w:rPr>
      </w:pPr>
      <w:r>
        <w:rPr>
          <w:rFonts w:hint="default" w:ascii="Times New Roman" w:hAnsi="Times New Roman" w:eastAsia="楷体_GB2312" w:cs="Times New Roman"/>
          <w:color w:val="auto"/>
          <w:position w:val="0"/>
          <w:sz w:val="32"/>
          <w:szCs w:val="20"/>
          <w:lang w:val="en-US" w:eastAsia="zh-CN"/>
        </w:rPr>
        <w:t>（一）指导思想。</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仿宋" w:hAnsi="仿宋" w:eastAsia="仿宋" w:cs="仿宋"/>
          <w:b w:val="0"/>
          <w:bCs w:val="0"/>
          <w:color w:val="auto"/>
          <w:kern w:val="2"/>
          <w:position w:val="0"/>
          <w:sz w:val="32"/>
          <w:szCs w:val="32"/>
          <w:lang w:val="en-US" w:eastAsia="zh-CN" w:bidi="ar-SA"/>
        </w:rPr>
      </w:pPr>
      <w:r>
        <w:rPr>
          <w:rFonts w:hint="default" w:ascii="仿宋" w:hAnsi="仿宋" w:eastAsia="仿宋" w:cs="仿宋"/>
          <w:b w:val="0"/>
          <w:bCs w:val="0"/>
          <w:color w:val="auto"/>
          <w:kern w:val="2"/>
          <w:position w:val="0"/>
          <w:sz w:val="32"/>
          <w:szCs w:val="32"/>
          <w:lang w:val="en-US" w:eastAsia="zh-CN" w:bidi="ar-SA"/>
        </w:rPr>
        <w:t>以习近平新时代中国特色社会主义思想为指导，全面贯彻党的十九大和十九届历次全会精神，坚持以人民为中心的发展思想，以</w:t>
      </w:r>
      <w:r>
        <w:rPr>
          <w:rFonts w:hint="eastAsia" w:ascii="仿宋" w:hAnsi="仿宋" w:eastAsia="仿宋" w:cs="仿宋"/>
          <w:b w:val="0"/>
          <w:bCs w:val="0"/>
          <w:color w:val="auto"/>
          <w:kern w:val="2"/>
          <w:position w:val="0"/>
          <w:sz w:val="32"/>
          <w:szCs w:val="32"/>
          <w:lang w:val="en-US" w:eastAsia="zh-CN" w:bidi="ar-SA"/>
        </w:rPr>
        <w:t>维护</w:t>
      </w:r>
      <w:r>
        <w:rPr>
          <w:rFonts w:hint="default" w:ascii="仿宋" w:hAnsi="仿宋" w:eastAsia="仿宋" w:cs="仿宋"/>
          <w:b w:val="0"/>
          <w:bCs w:val="0"/>
          <w:color w:val="auto"/>
          <w:kern w:val="2"/>
          <w:position w:val="0"/>
          <w:sz w:val="32"/>
          <w:szCs w:val="32"/>
          <w:lang w:val="en-US" w:eastAsia="zh-CN" w:bidi="ar-SA"/>
        </w:rPr>
        <w:t>全职业人群、全工作周期职业健康为出发点，深入实施职业健康保护行动，落实“防、治、管、教、建”五字策略，强化政府、部门、用人单位</w:t>
      </w:r>
      <w:r>
        <w:rPr>
          <w:rFonts w:hint="eastAsia" w:ascii="仿宋" w:hAnsi="仿宋" w:eastAsia="仿宋" w:cs="仿宋"/>
          <w:b w:val="0"/>
          <w:bCs w:val="0"/>
          <w:color w:val="auto"/>
          <w:kern w:val="2"/>
          <w:position w:val="0"/>
          <w:sz w:val="32"/>
          <w:szCs w:val="32"/>
          <w:lang w:val="en-US" w:eastAsia="zh-CN" w:bidi="ar-SA"/>
        </w:rPr>
        <w:t>三</w:t>
      </w:r>
      <w:r>
        <w:rPr>
          <w:rFonts w:hint="default" w:ascii="仿宋" w:hAnsi="仿宋" w:eastAsia="仿宋" w:cs="仿宋"/>
          <w:b w:val="0"/>
          <w:bCs w:val="0"/>
          <w:color w:val="auto"/>
          <w:kern w:val="2"/>
          <w:position w:val="0"/>
          <w:sz w:val="32"/>
          <w:szCs w:val="32"/>
          <w:lang w:val="en-US" w:eastAsia="zh-CN" w:bidi="ar-SA"/>
        </w:rPr>
        <w:t>方责任，进一步加强宣传教育，进一步夯实职业健康工作基础，推进职业健康治理体系和治理能力建设，全面提升职业健康工作质量和水平，推进健康</w:t>
      </w:r>
      <w:r>
        <w:rPr>
          <w:rFonts w:hint="eastAsia" w:ascii="仿宋" w:hAnsi="仿宋" w:eastAsia="仿宋" w:cs="仿宋"/>
          <w:b w:val="0"/>
          <w:bCs w:val="0"/>
          <w:color w:val="auto"/>
          <w:kern w:val="2"/>
          <w:position w:val="0"/>
          <w:sz w:val="32"/>
          <w:szCs w:val="32"/>
          <w:lang w:val="en-US" w:eastAsia="zh-CN" w:bidi="ar-SA"/>
        </w:rPr>
        <w:t>河源</w:t>
      </w:r>
      <w:r>
        <w:rPr>
          <w:rFonts w:hint="default" w:ascii="仿宋" w:hAnsi="仿宋" w:eastAsia="仿宋" w:cs="仿宋"/>
          <w:b w:val="0"/>
          <w:bCs w:val="0"/>
          <w:color w:val="auto"/>
          <w:kern w:val="2"/>
          <w:position w:val="0"/>
          <w:sz w:val="32"/>
          <w:szCs w:val="32"/>
          <w:lang w:val="en-US" w:eastAsia="zh-CN" w:bidi="ar-SA"/>
        </w:rPr>
        <w:t>建设和促进经济社会高质量发展。</w:t>
      </w:r>
    </w:p>
    <w:p>
      <w:pPr>
        <w:keepNext w:val="0"/>
        <w:keepLines w:val="0"/>
        <w:pageBreakBefore w:val="0"/>
        <w:widowControl/>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default" w:ascii="Times New Roman" w:hAnsi="Times New Roman" w:eastAsia="楷体_GB2312" w:cs="Times New Roman"/>
          <w:color w:val="auto"/>
          <w:position w:val="0"/>
          <w:sz w:val="32"/>
          <w:szCs w:val="20"/>
          <w:lang w:val="en-US" w:eastAsia="zh-CN"/>
        </w:rPr>
      </w:pPr>
      <w:r>
        <w:rPr>
          <w:rFonts w:hint="default" w:ascii="Times New Roman" w:hAnsi="Times New Roman" w:eastAsia="楷体_GB2312" w:cs="Times New Roman"/>
          <w:color w:val="auto"/>
          <w:position w:val="0"/>
          <w:sz w:val="32"/>
          <w:szCs w:val="20"/>
          <w:lang w:val="en-US" w:eastAsia="zh-CN"/>
        </w:rPr>
        <w:t>（二）基本原则。</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hint="default" w:ascii="仿宋" w:hAnsi="仿宋" w:eastAsia="仿宋" w:cs="仿宋"/>
          <w:b w:val="0"/>
          <w:bCs w:val="0"/>
          <w:color w:val="auto"/>
          <w:kern w:val="2"/>
          <w:position w:val="0"/>
          <w:sz w:val="32"/>
          <w:szCs w:val="32"/>
          <w:lang w:val="en-US" w:eastAsia="zh-CN" w:bidi="ar-SA"/>
        </w:rPr>
      </w:pPr>
      <w:r>
        <w:rPr>
          <w:rFonts w:hint="default" w:ascii="仿宋" w:hAnsi="仿宋" w:eastAsia="仿宋" w:cs="仿宋"/>
          <w:b/>
          <w:bCs/>
          <w:color w:val="auto"/>
          <w:kern w:val="2"/>
          <w:position w:val="0"/>
          <w:sz w:val="32"/>
          <w:szCs w:val="32"/>
          <w:lang w:val="en-US" w:eastAsia="zh-CN" w:bidi="ar-SA"/>
        </w:rPr>
        <w:t>坚持预防为主，防治结合。</w:t>
      </w:r>
      <w:r>
        <w:rPr>
          <w:rFonts w:hint="default" w:ascii="仿宋" w:hAnsi="仿宋" w:eastAsia="仿宋" w:cs="仿宋"/>
          <w:b w:val="0"/>
          <w:bCs w:val="0"/>
          <w:color w:val="auto"/>
          <w:kern w:val="2"/>
          <w:position w:val="0"/>
          <w:sz w:val="32"/>
          <w:szCs w:val="32"/>
          <w:lang w:val="en-US" w:eastAsia="zh-CN" w:bidi="ar-SA"/>
        </w:rPr>
        <w:t>强化职业病危害源头防控，督促和引导用人单位采取工程技术、个人防护和管理等措施，不断改善工作场所劳动条件和作业环境。建立健全职业病防治技术支撑体系，提升卫生工程防护、风险监测评估、诊断救治能力。</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hint="default" w:ascii="仿宋" w:hAnsi="仿宋" w:eastAsia="仿宋" w:cs="仿宋"/>
          <w:b w:val="0"/>
          <w:bCs w:val="0"/>
          <w:color w:val="auto"/>
          <w:kern w:val="2"/>
          <w:position w:val="0"/>
          <w:sz w:val="32"/>
          <w:szCs w:val="32"/>
          <w:lang w:val="en-US" w:eastAsia="zh-CN" w:bidi="ar-SA"/>
        </w:rPr>
      </w:pPr>
      <w:r>
        <w:rPr>
          <w:rFonts w:hint="default" w:ascii="仿宋" w:hAnsi="仿宋" w:eastAsia="仿宋" w:cs="仿宋"/>
          <w:b/>
          <w:bCs/>
          <w:color w:val="auto"/>
          <w:kern w:val="2"/>
          <w:position w:val="0"/>
          <w:sz w:val="32"/>
          <w:szCs w:val="32"/>
          <w:lang w:val="en-US" w:eastAsia="zh-CN" w:bidi="ar-SA"/>
        </w:rPr>
        <w:t>坚持突出重点，精准防控。</w:t>
      </w:r>
      <w:r>
        <w:rPr>
          <w:rFonts w:hint="default" w:ascii="仿宋" w:hAnsi="仿宋" w:eastAsia="仿宋" w:cs="仿宋"/>
          <w:b w:val="0"/>
          <w:bCs w:val="0"/>
          <w:color w:val="auto"/>
          <w:kern w:val="2"/>
          <w:position w:val="0"/>
          <w:sz w:val="32"/>
          <w:szCs w:val="32"/>
          <w:lang w:val="en-US" w:eastAsia="zh-CN" w:bidi="ar-SA"/>
        </w:rPr>
        <w:t>聚焦职业病危害严重的行业领域，深化尘肺病防治攻坚行动，持续推进粉尘、毒物、噪声和辐射等危害治理，强化职业病危害因素监测和风险评估，实现精准防控。</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hint="default" w:ascii="仿宋" w:hAnsi="仿宋" w:eastAsia="仿宋" w:cs="仿宋"/>
          <w:b w:val="0"/>
          <w:bCs w:val="0"/>
          <w:color w:val="auto"/>
          <w:kern w:val="2"/>
          <w:position w:val="0"/>
          <w:sz w:val="32"/>
          <w:szCs w:val="32"/>
          <w:lang w:val="en-US" w:eastAsia="zh-CN" w:bidi="ar-SA"/>
        </w:rPr>
      </w:pPr>
      <w:r>
        <w:rPr>
          <w:rFonts w:hint="default" w:ascii="仿宋" w:hAnsi="仿宋" w:eastAsia="仿宋" w:cs="仿宋"/>
          <w:b/>
          <w:bCs/>
          <w:color w:val="auto"/>
          <w:kern w:val="2"/>
          <w:position w:val="0"/>
          <w:sz w:val="32"/>
          <w:szCs w:val="32"/>
          <w:lang w:val="en-US" w:eastAsia="zh-CN" w:bidi="ar-SA"/>
        </w:rPr>
        <w:t>坚持改革创新，综合施策。</w:t>
      </w:r>
      <w:r>
        <w:rPr>
          <w:rFonts w:hint="default" w:ascii="仿宋" w:hAnsi="仿宋" w:eastAsia="仿宋" w:cs="仿宋"/>
          <w:b w:val="0"/>
          <w:bCs w:val="0"/>
          <w:color w:val="auto"/>
          <w:kern w:val="2"/>
          <w:position w:val="0"/>
          <w:sz w:val="32"/>
          <w:szCs w:val="32"/>
          <w:lang w:val="en-US" w:eastAsia="zh-CN" w:bidi="ar-SA"/>
        </w:rPr>
        <w:t>坚持从以</w:t>
      </w:r>
      <w:r>
        <w:rPr>
          <w:rFonts w:hint="eastAsia" w:ascii="仿宋" w:hAnsi="仿宋" w:eastAsia="仿宋" w:cs="仿宋"/>
          <w:b w:val="0"/>
          <w:bCs w:val="0"/>
          <w:color w:val="auto"/>
          <w:kern w:val="2"/>
          <w:position w:val="0"/>
          <w:sz w:val="32"/>
          <w:szCs w:val="32"/>
          <w:lang w:val="en-US" w:eastAsia="zh-CN" w:bidi="ar-SA"/>
        </w:rPr>
        <w:t>治</w:t>
      </w:r>
      <w:r>
        <w:rPr>
          <w:rFonts w:hint="default" w:ascii="仿宋" w:hAnsi="仿宋" w:eastAsia="仿宋" w:cs="仿宋"/>
          <w:b w:val="0"/>
          <w:bCs w:val="0"/>
          <w:color w:val="auto"/>
          <w:kern w:val="2"/>
          <w:position w:val="0"/>
          <w:sz w:val="32"/>
          <w:szCs w:val="32"/>
          <w:lang w:val="en-US" w:eastAsia="zh-CN" w:bidi="ar-SA"/>
        </w:rPr>
        <w:t>病为中心向以劳动者健康为中心转变，深化传统职业病防控，逐步开展相关疾病预防，推进职业人群健康促进，综合运用法律、行政、经济、信用等政策工具，构建职业健康工作新格局。</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hint="default" w:ascii="仿宋" w:hAnsi="仿宋" w:eastAsia="仿宋" w:cs="仿宋"/>
          <w:b w:val="0"/>
          <w:bCs w:val="0"/>
          <w:color w:val="auto"/>
          <w:kern w:val="2"/>
          <w:position w:val="0"/>
          <w:sz w:val="32"/>
          <w:szCs w:val="32"/>
          <w:lang w:val="en-US" w:eastAsia="zh-CN" w:bidi="ar-SA"/>
        </w:rPr>
      </w:pPr>
      <w:r>
        <w:rPr>
          <w:rFonts w:hint="default" w:ascii="仿宋" w:hAnsi="仿宋" w:eastAsia="仿宋" w:cs="仿宋"/>
          <w:b/>
          <w:bCs/>
          <w:color w:val="auto"/>
          <w:kern w:val="2"/>
          <w:position w:val="0"/>
          <w:sz w:val="32"/>
          <w:szCs w:val="32"/>
          <w:lang w:val="en-US" w:eastAsia="zh-CN" w:bidi="ar-SA"/>
        </w:rPr>
        <w:t>坚持依法防治，落实责任。</w:t>
      </w:r>
      <w:r>
        <w:rPr>
          <w:rFonts w:hint="default" w:ascii="仿宋" w:hAnsi="仿宋" w:eastAsia="仿宋" w:cs="仿宋"/>
          <w:b w:val="0"/>
          <w:bCs w:val="0"/>
          <w:color w:val="auto"/>
          <w:kern w:val="2"/>
          <w:position w:val="0"/>
          <w:sz w:val="32"/>
          <w:szCs w:val="32"/>
          <w:lang w:val="en-US" w:eastAsia="zh-CN" w:bidi="ar-SA"/>
        </w:rPr>
        <w:t>加强监管队伍建设，提升监管执法能力</w:t>
      </w:r>
      <w:r>
        <w:rPr>
          <w:rFonts w:hint="eastAsia" w:ascii="仿宋" w:hAnsi="仿宋" w:eastAsia="仿宋" w:cs="仿宋"/>
          <w:b w:val="0"/>
          <w:bCs w:val="0"/>
          <w:color w:val="auto"/>
          <w:kern w:val="2"/>
          <w:position w:val="0"/>
          <w:sz w:val="32"/>
          <w:szCs w:val="32"/>
          <w:lang w:val="en-US" w:eastAsia="zh-CN" w:bidi="ar-SA"/>
        </w:rPr>
        <w:t>,改进监管方式方法</w:t>
      </w:r>
      <w:r>
        <w:rPr>
          <w:rFonts w:hint="default" w:ascii="仿宋" w:hAnsi="仿宋" w:eastAsia="仿宋" w:cs="仿宋"/>
          <w:b w:val="0"/>
          <w:bCs w:val="0"/>
          <w:color w:val="auto"/>
          <w:kern w:val="2"/>
          <w:position w:val="0"/>
          <w:sz w:val="32"/>
          <w:szCs w:val="32"/>
          <w:lang w:val="en-US" w:eastAsia="zh-CN" w:bidi="ar-SA"/>
        </w:rPr>
        <w:t>。坚持约束和激励并重，落实地方政府领导责任、部门监管责任、用人单位主体责任，合力推进职业健康工作。</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default" w:ascii="Times New Roman" w:hAnsi="Times New Roman" w:eastAsia="仿宋_GB2312" w:cs="Times New Roman"/>
          <w:color w:val="auto"/>
          <w:position w:val="0"/>
          <w:sz w:val="32"/>
          <w:szCs w:val="20"/>
          <w:lang w:val="en-US" w:eastAsia="zh-CN"/>
        </w:rPr>
      </w:pPr>
      <w:r>
        <w:rPr>
          <w:rFonts w:hint="default" w:ascii="Times New Roman" w:hAnsi="Times New Roman" w:eastAsia="仿宋_GB2312" w:cs="Times New Roman"/>
          <w:color w:val="auto"/>
          <w:position w:val="0"/>
          <w:sz w:val="32"/>
          <w:szCs w:val="20"/>
          <w:lang w:val="en-US" w:eastAsia="zh-CN"/>
        </w:rPr>
        <w:t xml:space="preserve">   </w:t>
      </w:r>
      <w:r>
        <w:rPr>
          <w:rFonts w:hint="default" w:ascii="Times New Roman" w:hAnsi="Times New Roman" w:eastAsia="楷体_GB2312" w:cs="Times New Roman"/>
          <w:color w:val="auto"/>
          <w:position w:val="0"/>
          <w:sz w:val="32"/>
          <w:szCs w:val="20"/>
          <w:lang w:val="en-US" w:eastAsia="zh-CN"/>
        </w:rPr>
        <w:t xml:space="preserve"> （三）规划目标。</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仿宋" w:hAnsi="仿宋" w:eastAsia="仿宋" w:cs="仿宋"/>
          <w:b w:val="0"/>
          <w:bCs w:val="0"/>
          <w:color w:val="auto"/>
          <w:kern w:val="2"/>
          <w:position w:val="0"/>
          <w:sz w:val="32"/>
          <w:szCs w:val="32"/>
          <w:lang w:val="en-US" w:eastAsia="zh-CN" w:bidi="ar-SA"/>
        </w:rPr>
      </w:pPr>
      <w:r>
        <w:rPr>
          <w:rFonts w:hint="default" w:ascii="仿宋" w:hAnsi="仿宋" w:eastAsia="仿宋" w:cs="仿宋"/>
          <w:b w:val="0"/>
          <w:bCs w:val="0"/>
          <w:color w:val="auto"/>
          <w:kern w:val="2"/>
          <w:position w:val="0"/>
          <w:sz w:val="32"/>
          <w:szCs w:val="32"/>
          <w:lang w:val="en-US" w:eastAsia="zh-CN" w:bidi="ar-SA"/>
        </w:rPr>
        <w:t>到2025年，职业健康治理体系更加完善，治理能力显著增强，劳动者健康水平进一步提高。职业病危害状况明显好转，工作场所劳动条件显著改善，劳动用工和劳动工时管理进一步规范，尘肺病等重点职业病得到有效防控，职业健康监管体系基本完善，服务能力和保障水平不断提升，全社会职业健康意识显著增强，劳动者职业健康权益得到切实保障</w:t>
      </w:r>
      <w:r>
        <w:rPr>
          <w:rFonts w:hint="eastAsia" w:ascii="仿宋" w:hAnsi="仿宋" w:eastAsia="仿宋" w:cs="仿宋"/>
          <w:b w:val="0"/>
          <w:bCs w:val="0"/>
          <w:color w:val="auto"/>
          <w:kern w:val="2"/>
          <w:position w:val="0"/>
          <w:sz w:val="32"/>
          <w:szCs w:val="32"/>
          <w:lang w:val="en-US" w:eastAsia="zh-CN" w:bidi="ar-SA"/>
        </w:rPr>
        <w:t>。</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center"/>
        <w:textAlignment w:val="auto"/>
        <w:rPr>
          <w:rFonts w:hint="eastAsia" w:ascii="宋体" w:hAnsi="宋体" w:eastAsia="宋体" w:cs="宋体"/>
          <w:b/>
          <w:bCs/>
          <w:color w:val="auto"/>
          <w:kern w:val="2"/>
          <w:position w:val="0"/>
          <w:sz w:val="32"/>
          <w:szCs w:val="32"/>
          <w:lang w:val="en-US" w:eastAsia="zh-CN" w:bidi="ar-SA"/>
        </w:rPr>
      </w:pPr>
      <w:r>
        <w:rPr>
          <w:rFonts w:hint="eastAsia" w:ascii="宋体" w:hAnsi="宋体" w:eastAsia="宋体" w:cs="宋体"/>
          <w:b/>
          <w:bCs/>
          <w:color w:val="auto"/>
          <w:kern w:val="2"/>
          <w:position w:val="0"/>
          <w:sz w:val="32"/>
          <w:szCs w:val="32"/>
          <w:lang w:val="en-US" w:eastAsia="zh-CN" w:bidi="ar-SA"/>
        </w:rPr>
        <w:t>“十四五”职业病防治主要指标</w:t>
      </w:r>
    </w:p>
    <w:tbl>
      <w:tblPr>
        <w:tblStyle w:val="7"/>
        <w:tblW w:w="86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7"/>
        <w:gridCol w:w="6538"/>
        <w:gridCol w:w="15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708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b w:val="0"/>
                <w:bCs/>
                <w:color w:val="auto"/>
                <w:position w:val="0"/>
                <w:sz w:val="28"/>
                <w:szCs w:val="28"/>
                <w:u w:val="none"/>
              </w:rPr>
            </w:pPr>
            <w:r>
              <w:rPr>
                <w:rFonts w:hint="default" w:ascii="Times New Roman" w:hAnsi="Times New Roman" w:eastAsia="黑体" w:cs="Times New Roman"/>
                <w:b w:val="0"/>
                <w:bCs/>
                <w:color w:val="auto"/>
                <w:position w:val="0"/>
                <w:sz w:val="28"/>
                <w:szCs w:val="28"/>
                <w:u w:val="none"/>
              </w:rPr>
              <w:t>指标名称</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b w:val="0"/>
                <w:bCs/>
                <w:color w:val="auto"/>
                <w:position w:val="0"/>
                <w:sz w:val="28"/>
                <w:szCs w:val="28"/>
                <w:u w:val="none"/>
              </w:rPr>
            </w:pPr>
            <w:r>
              <w:rPr>
                <w:rFonts w:hint="default" w:ascii="Times New Roman" w:hAnsi="Times New Roman" w:eastAsia="黑体" w:cs="Times New Roman"/>
                <w:b w:val="0"/>
                <w:bCs/>
                <w:color w:val="auto"/>
                <w:position w:val="0"/>
                <w:sz w:val="28"/>
                <w:szCs w:val="28"/>
                <w:highlight w:val="none"/>
                <w:u w:val="none"/>
              </w:rPr>
              <w:t>2025年值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47"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position w:val="0"/>
                <w:sz w:val="24"/>
                <w:szCs w:val="24"/>
                <w:u w:val="none"/>
                <w:lang w:val="en-US" w:eastAsia="zh-CN"/>
              </w:rPr>
            </w:pPr>
            <w:r>
              <w:rPr>
                <w:rFonts w:hint="eastAsia" w:ascii="仿宋" w:hAnsi="仿宋" w:eastAsia="仿宋" w:cs="仿宋"/>
                <w:color w:val="auto"/>
                <w:position w:val="0"/>
                <w:sz w:val="24"/>
                <w:szCs w:val="24"/>
                <w:u w:val="none"/>
                <w:lang w:val="en-US" w:eastAsia="zh-CN"/>
              </w:rPr>
              <w:t>1</w:t>
            </w:r>
          </w:p>
        </w:tc>
        <w:tc>
          <w:tcPr>
            <w:tcW w:w="6538"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position w:val="0"/>
                <w:sz w:val="24"/>
                <w:szCs w:val="24"/>
                <w:u w:val="none"/>
                <w:lang w:eastAsia="zh-CN"/>
              </w:rPr>
            </w:pPr>
            <w:r>
              <w:rPr>
                <w:rFonts w:hint="eastAsia" w:ascii="仿宋" w:hAnsi="仿宋" w:eastAsia="仿宋" w:cs="仿宋"/>
                <w:color w:val="auto"/>
                <w:position w:val="0"/>
                <w:sz w:val="24"/>
                <w:szCs w:val="24"/>
                <w:u w:val="none"/>
              </w:rPr>
              <w:t>工伤保险参保人数</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position w:val="0"/>
                <w:sz w:val="24"/>
                <w:szCs w:val="24"/>
                <w:u w:val="none"/>
                <w:lang w:val="en-US" w:eastAsia="zh-CN"/>
              </w:rPr>
            </w:pPr>
            <w:r>
              <w:rPr>
                <w:rFonts w:hint="eastAsia" w:ascii="仿宋" w:hAnsi="仿宋" w:eastAsia="仿宋" w:cs="仿宋"/>
                <w:color w:val="auto"/>
                <w:position w:val="0"/>
                <w:sz w:val="24"/>
                <w:szCs w:val="24"/>
                <w:u w:val="none"/>
              </w:rPr>
              <w:t>稳步提升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47"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position w:val="0"/>
                <w:sz w:val="24"/>
                <w:szCs w:val="24"/>
                <w:u w:val="none"/>
              </w:rPr>
            </w:pPr>
            <w:r>
              <w:rPr>
                <w:rFonts w:hint="eastAsia" w:ascii="仿宋" w:hAnsi="仿宋" w:eastAsia="仿宋" w:cs="仿宋"/>
                <w:color w:val="auto"/>
                <w:position w:val="0"/>
                <w:sz w:val="24"/>
                <w:szCs w:val="24"/>
                <w:u w:val="none"/>
                <w:lang w:val="en-US" w:eastAsia="zh-CN"/>
              </w:rPr>
              <w:t>2</w:t>
            </w:r>
          </w:p>
        </w:tc>
        <w:tc>
          <w:tcPr>
            <w:tcW w:w="6538"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position w:val="0"/>
                <w:sz w:val="24"/>
                <w:szCs w:val="24"/>
                <w:u w:val="none"/>
                <w:lang w:eastAsia="zh-CN"/>
              </w:rPr>
            </w:pPr>
            <w:r>
              <w:rPr>
                <w:rFonts w:hint="eastAsia" w:ascii="仿宋" w:hAnsi="仿宋" w:eastAsia="仿宋" w:cs="仿宋"/>
                <w:color w:val="auto"/>
                <w:position w:val="0"/>
                <w:sz w:val="24"/>
                <w:szCs w:val="24"/>
                <w:u w:val="none"/>
              </w:rPr>
              <w:t>工业企业职业病危害项目申报率</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position w:val="0"/>
                <w:sz w:val="24"/>
                <w:szCs w:val="24"/>
                <w:u w:val="none"/>
                <w:lang w:eastAsia="zh-CN"/>
              </w:rPr>
            </w:pPr>
            <w:r>
              <w:rPr>
                <w:rFonts w:hint="eastAsia" w:ascii="仿宋" w:hAnsi="仿宋" w:eastAsia="仿宋" w:cs="仿宋"/>
                <w:color w:val="auto"/>
                <w:position w:val="0"/>
                <w:sz w:val="24"/>
                <w:szCs w:val="24"/>
                <w:u w:val="none"/>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47"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position w:val="0"/>
                <w:sz w:val="24"/>
                <w:szCs w:val="24"/>
                <w:u w:val="none"/>
              </w:rPr>
            </w:pPr>
            <w:r>
              <w:rPr>
                <w:rFonts w:hint="eastAsia" w:ascii="仿宋" w:hAnsi="仿宋" w:eastAsia="仿宋" w:cs="仿宋"/>
                <w:color w:val="auto"/>
                <w:position w:val="0"/>
                <w:sz w:val="24"/>
                <w:szCs w:val="24"/>
                <w:u w:val="none"/>
                <w:lang w:val="en-US" w:eastAsia="zh-CN"/>
              </w:rPr>
              <w:t>3</w:t>
            </w:r>
          </w:p>
        </w:tc>
        <w:tc>
          <w:tcPr>
            <w:tcW w:w="6538"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position w:val="0"/>
                <w:sz w:val="24"/>
                <w:szCs w:val="24"/>
                <w:u w:val="none"/>
                <w:lang w:eastAsia="zh-CN"/>
              </w:rPr>
            </w:pPr>
            <w:r>
              <w:rPr>
                <w:rFonts w:hint="eastAsia" w:ascii="仿宋" w:hAnsi="仿宋" w:eastAsia="仿宋" w:cs="仿宋"/>
                <w:color w:val="auto"/>
                <w:position w:val="0"/>
                <w:sz w:val="24"/>
                <w:szCs w:val="24"/>
                <w:u w:val="none"/>
              </w:rPr>
              <w:t>工作场所职业病危害因素监测合格率</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position w:val="0"/>
                <w:sz w:val="24"/>
                <w:szCs w:val="24"/>
                <w:u w:val="none"/>
                <w:lang w:eastAsia="zh-CN"/>
              </w:rPr>
            </w:pPr>
            <w:r>
              <w:rPr>
                <w:rFonts w:hint="eastAsia" w:ascii="仿宋" w:hAnsi="仿宋" w:eastAsia="仿宋" w:cs="仿宋"/>
                <w:color w:val="auto"/>
                <w:position w:val="0"/>
                <w:sz w:val="24"/>
                <w:szCs w:val="24"/>
                <w:u w:val="none"/>
              </w:rPr>
              <w:t>≥85%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47"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position w:val="0"/>
                <w:sz w:val="24"/>
                <w:szCs w:val="24"/>
                <w:u w:val="none"/>
              </w:rPr>
            </w:pPr>
            <w:r>
              <w:rPr>
                <w:rFonts w:hint="eastAsia" w:ascii="仿宋" w:hAnsi="仿宋" w:eastAsia="仿宋" w:cs="仿宋"/>
                <w:color w:val="auto"/>
                <w:position w:val="0"/>
                <w:sz w:val="24"/>
                <w:szCs w:val="24"/>
                <w:u w:val="none"/>
                <w:lang w:val="en-US" w:eastAsia="zh-CN"/>
              </w:rPr>
              <w:t>4</w:t>
            </w:r>
          </w:p>
        </w:tc>
        <w:tc>
          <w:tcPr>
            <w:tcW w:w="6538"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position w:val="0"/>
                <w:sz w:val="24"/>
                <w:szCs w:val="24"/>
                <w:u w:val="none"/>
                <w:lang w:eastAsia="zh-CN"/>
              </w:rPr>
            </w:pPr>
            <w:r>
              <w:rPr>
                <w:rFonts w:hint="eastAsia" w:ascii="仿宋" w:hAnsi="仿宋" w:eastAsia="仿宋" w:cs="仿宋"/>
                <w:color w:val="auto"/>
                <w:position w:val="0"/>
                <w:sz w:val="24"/>
                <w:szCs w:val="24"/>
                <w:u w:val="none"/>
              </w:rPr>
              <w:t>非医疗放射工作人员个人剂量监测率</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position w:val="0"/>
                <w:sz w:val="24"/>
                <w:szCs w:val="24"/>
                <w:u w:val="none"/>
                <w:lang w:eastAsia="zh-CN"/>
              </w:rPr>
            </w:pPr>
            <w:r>
              <w:rPr>
                <w:rFonts w:hint="eastAsia" w:ascii="仿宋" w:hAnsi="仿宋" w:eastAsia="仿宋" w:cs="仿宋"/>
                <w:color w:val="auto"/>
                <w:position w:val="0"/>
                <w:sz w:val="24"/>
                <w:szCs w:val="24"/>
                <w:u w:val="none"/>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47"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position w:val="0"/>
                <w:sz w:val="24"/>
                <w:szCs w:val="24"/>
                <w:u w:val="none"/>
              </w:rPr>
            </w:pPr>
            <w:r>
              <w:rPr>
                <w:rFonts w:hint="eastAsia" w:ascii="仿宋" w:hAnsi="仿宋" w:eastAsia="仿宋" w:cs="仿宋"/>
                <w:color w:val="auto"/>
                <w:position w:val="0"/>
                <w:sz w:val="24"/>
                <w:szCs w:val="24"/>
                <w:u w:val="none"/>
                <w:lang w:val="en-US" w:eastAsia="zh-CN"/>
              </w:rPr>
              <w:t>5</w:t>
            </w:r>
          </w:p>
        </w:tc>
        <w:tc>
          <w:tcPr>
            <w:tcW w:w="6538"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position w:val="0"/>
                <w:sz w:val="24"/>
                <w:szCs w:val="24"/>
                <w:u w:val="none"/>
                <w:lang w:eastAsia="zh-CN"/>
              </w:rPr>
            </w:pPr>
            <w:r>
              <w:rPr>
                <w:rFonts w:hint="eastAsia" w:ascii="仿宋" w:hAnsi="仿宋" w:eastAsia="仿宋" w:cs="仿宋"/>
                <w:color w:val="auto"/>
                <w:position w:val="0"/>
                <w:sz w:val="24"/>
                <w:szCs w:val="24"/>
                <w:u w:val="none"/>
              </w:rPr>
              <w:t>重点人群职业健康知识知晓率</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position w:val="0"/>
                <w:sz w:val="24"/>
                <w:szCs w:val="24"/>
                <w:u w:val="none"/>
              </w:rPr>
            </w:pPr>
            <w:r>
              <w:rPr>
                <w:rFonts w:hint="eastAsia" w:ascii="仿宋" w:hAnsi="仿宋" w:eastAsia="仿宋" w:cs="仿宋"/>
                <w:color w:val="auto"/>
                <w:position w:val="0"/>
                <w:sz w:val="24"/>
                <w:szCs w:val="24"/>
                <w:u w:val="none"/>
              </w:rPr>
              <w:t>≥85%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47"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position w:val="0"/>
                <w:sz w:val="24"/>
                <w:szCs w:val="24"/>
                <w:u w:val="none"/>
                <w:lang w:val="en-US" w:eastAsia="zh-CN"/>
              </w:rPr>
            </w:pPr>
            <w:r>
              <w:rPr>
                <w:rFonts w:hint="eastAsia" w:ascii="仿宋" w:hAnsi="仿宋" w:eastAsia="仿宋" w:cs="仿宋"/>
                <w:color w:val="auto"/>
                <w:position w:val="0"/>
                <w:sz w:val="24"/>
                <w:szCs w:val="24"/>
                <w:u w:val="none"/>
                <w:lang w:val="en-US" w:eastAsia="zh-CN"/>
              </w:rPr>
              <w:t>6</w:t>
            </w:r>
          </w:p>
        </w:tc>
        <w:tc>
          <w:tcPr>
            <w:tcW w:w="6538"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position w:val="0"/>
                <w:sz w:val="24"/>
                <w:szCs w:val="24"/>
                <w:u w:val="none"/>
              </w:rPr>
            </w:pPr>
            <w:r>
              <w:rPr>
                <w:rFonts w:hint="eastAsia" w:ascii="仿宋" w:hAnsi="仿宋" w:eastAsia="仿宋" w:cs="仿宋"/>
                <w:color w:val="auto"/>
                <w:position w:val="0"/>
                <w:sz w:val="24"/>
                <w:szCs w:val="24"/>
                <w:u w:val="none"/>
              </w:rPr>
              <w:t>尘肺病患者集中乡镇康复服务覆盖率</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position w:val="0"/>
                <w:sz w:val="24"/>
                <w:szCs w:val="24"/>
                <w:u w:val="none"/>
              </w:rPr>
            </w:pPr>
            <w:r>
              <w:rPr>
                <w:rFonts w:hint="eastAsia" w:ascii="仿宋" w:hAnsi="仿宋" w:eastAsia="仿宋" w:cs="仿宋"/>
                <w:color w:val="auto"/>
                <w:position w:val="0"/>
                <w:sz w:val="24"/>
                <w:szCs w:val="24"/>
                <w:u w:val="none"/>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547"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position w:val="0"/>
                <w:sz w:val="24"/>
                <w:szCs w:val="24"/>
                <w:u w:val="none"/>
              </w:rPr>
            </w:pPr>
            <w:r>
              <w:rPr>
                <w:rFonts w:hint="eastAsia" w:ascii="仿宋" w:hAnsi="仿宋" w:eastAsia="仿宋" w:cs="仿宋"/>
                <w:color w:val="auto"/>
                <w:position w:val="0"/>
                <w:sz w:val="24"/>
                <w:szCs w:val="24"/>
                <w:u w:val="none"/>
                <w:lang w:val="en-US" w:eastAsia="zh-CN"/>
              </w:rPr>
              <w:t>7</w:t>
            </w:r>
          </w:p>
        </w:tc>
        <w:tc>
          <w:tcPr>
            <w:tcW w:w="6538"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position w:val="0"/>
                <w:sz w:val="24"/>
                <w:szCs w:val="24"/>
                <w:u w:val="none"/>
                <w:lang w:eastAsia="zh-CN"/>
              </w:rPr>
            </w:pPr>
            <w:r>
              <w:rPr>
                <w:rFonts w:hint="eastAsia" w:ascii="仿宋" w:hAnsi="仿宋" w:eastAsia="仿宋" w:cs="仿宋"/>
                <w:color w:val="auto"/>
                <w:position w:val="0"/>
                <w:sz w:val="24"/>
                <w:szCs w:val="24"/>
                <w:u w:val="none"/>
              </w:rPr>
              <w:t>职业卫生违法案件查处率</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position w:val="0"/>
                <w:sz w:val="24"/>
                <w:szCs w:val="24"/>
                <w:u w:val="none"/>
                <w:lang w:eastAsia="zh-CN"/>
              </w:rPr>
            </w:pPr>
            <w:r>
              <w:rPr>
                <w:rFonts w:hint="eastAsia" w:ascii="仿宋" w:hAnsi="仿宋" w:eastAsia="仿宋" w:cs="仿宋"/>
                <w:color w:val="auto"/>
                <w:position w:val="0"/>
                <w:sz w:val="24"/>
                <w:szCs w:val="24"/>
                <w:u w:val="none"/>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4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position w:val="0"/>
                <w:sz w:val="24"/>
                <w:szCs w:val="24"/>
                <w:highlight w:val="none"/>
                <w:u w:val="none"/>
                <w:lang w:val="en-US" w:eastAsia="zh-CN"/>
              </w:rPr>
            </w:pPr>
            <w:r>
              <w:rPr>
                <w:rFonts w:hint="eastAsia" w:ascii="仿宋" w:hAnsi="仿宋" w:eastAsia="仿宋" w:cs="仿宋"/>
                <w:color w:val="auto"/>
                <w:position w:val="0"/>
                <w:sz w:val="24"/>
                <w:szCs w:val="24"/>
                <w:highlight w:val="none"/>
                <w:u w:val="none"/>
                <w:lang w:val="en-US" w:eastAsia="zh-CN"/>
              </w:rPr>
              <w:t>8</w:t>
            </w:r>
          </w:p>
        </w:tc>
        <w:tc>
          <w:tcPr>
            <w:tcW w:w="653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color w:val="auto"/>
                <w:kern w:val="2"/>
                <w:position w:val="0"/>
                <w:sz w:val="24"/>
                <w:szCs w:val="24"/>
                <w:highlight w:val="none"/>
                <w:u w:val="none"/>
                <w:lang w:val="en-US" w:eastAsia="zh-CN"/>
              </w:rPr>
            </w:pPr>
            <w:r>
              <w:rPr>
                <w:rFonts w:hint="eastAsia" w:ascii="仿宋" w:hAnsi="仿宋" w:eastAsia="仿宋" w:cs="仿宋"/>
                <w:i w:val="0"/>
                <w:iCs w:val="0"/>
                <w:color w:val="auto"/>
                <w:position w:val="0"/>
                <w:sz w:val="24"/>
                <w:szCs w:val="24"/>
                <w:highlight w:val="none"/>
                <w:u w:val="none"/>
              </w:rPr>
              <w:t>至少确定1家</w:t>
            </w:r>
            <w:r>
              <w:rPr>
                <w:rFonts w:hint="eastAsia" w:ascii="仿宋" w:hAnsi="仿宋" w:eastAsia="仿宋" w:cs="仿宋"/>
                <w:i w:val="0"/>
                <w:iCs w:val="0"/>
                <w:color w:val="auto"/>
                <w:position w:val="0"/>
                <w:sz w:val="24"/>
                <w:szCs w:val="24"/>
                <w:highlight w:val="none"/>
                <w:u w:val="none"/>
                <w:lang w:eastAsia="zh-CN"/>
              </w:rPr>
              <w:t>具备常见职业病诊断能力的公立</w:t>
            </w:r>
            <w:r>
              <w:rPr>
                <w:rFonts w:hint="eastAsia" w:ascii="仿宋" w:hAnsi="仿宋" w:eastAsia="仿宋" w:cs="仿宋"/>
                <w:i w:val="0"/>
                <w:iCs w:val="0"/>
                <w:color w:val="auto"/>
                <w:position w:val="0"/>
                <w:sz w:val="24"/>
                <w:szCs w:val="24"/>
                <w:highlight w:val="none"/>
                <w:u w:val="none"/>
              </w:rPr>
              <w:t>医疗卫生机构承担职业病诊断工作</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kern w:val="2"/>
                <w:position w:val="0"/>
                <w:sz w:val="24"/>
                <w:szCs w:val="24"/>
                <w:highlight w:val="none"/>
                <w:u w:val="none"/>
                <w:lang w:val="en-US" w:eastAsia="zh-CN"/>
              </w:rPr>
            </w:pPr>
            <w:r>
              <w:rPr>
                <w:rFonts w:hint="eastAsia" w:ascii="仿宋" w:hAnsi="仿宋" w:eastAsia="仿宋" w:cs="仿宋"/>
                <w:color w:val="auto"/>
                <w:position w:val="0"/>
                <w:sz w:val="24"/>
                <w:szCs w:val="24"/>
                <w:highlight w:val="none"/>
                <w:u w:val="none"/>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4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position w:val="0"/>
                <w:sz w:val="24"/>
                <w:szCs w:val="24"/>
                <w:highlight w:val="none"/>
                <w:u w:val="none"/>
              </w:rPr>
            </w:pPr>
            <w:r>
              <w:rPr>
                <w:rFonts w:hint="eastAsia" w:ascii="仿宋" w:hAnsi="仿宋" w:eastAsia="仿宋" w:cs="仿宋"/>
                <w:color w:val="auto"/>
                <w:position w:val="0"/>
                <w:sz w:val="24"/>
                <w:szCs w:val="24"/>
                <w:highlight w:val="none"/>
                <w:u w:val="none"/>
                <w:lang w:val="en-US" w:eastAsia="zh-CN"/>
              </w:rPr>
              <w:t>9</w:t>
            </w:r>
          </w:p>
        </w:tc>
        <w:tc>
          <w:tcPr>
            <w:tcW w:w="653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i w:val="0"/>
                <w:iCs w:val="0"/>
                <w:color w:val="auto"/>
                <w:kern w:val="2"/>
                <w:position w:val="0"/>
                <w:sz w:val="24"/>
                <w:szCs w:val="24"/>
                <w:highlight w:val="none"/>
                <w:u w:val="none"/>
                <w:lang w:val="en-US" w:eastAsia="zh-CN"/>
              </w:rPr>
            </w:pPr>
            <w:r>
              <w:rPr>
                <w:rFonts w:hint="eastAsia" w:ascii="仿宋" w:hAnsi="仿宋" w:eastAsia="仿宋" w:cs="仿宋"/>
                <w:color w:val="auto"/>
                <w:position w:val="0"/>
                <w:sz w:val="24"/>
                <w:szCs w:val="24"/>
                <w:highlight w:val="none"/>
                <w:u w:val="none"/>
              </w:rPr>
              <w:t>县区至少确定1家公立医疗卫生机构承担职业健康检查工作</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kern w:val="2"/>
                <w:position w:val="0"/>
                <w:sz w:val="24"/>
                <w:szCs w:val="24"/>
                <w:highlight w:val="none"/>
                <w:u w:val="none"/>
                <w:lang w:val="en-US" w:eastAsia="zh-CN"/>
              </w:rPr>
            </w:pPr>
            <w:r>
              <w:rPr>
                <w:rFonts w:hint="eastAsia" w:ascii="仿宋" w:hAnsi="仿宋" w:eastAsia="仿宋" w:cs="仿宋"/>
                <w:color w:val="auto"/>
                <w:position w:val="0"/>
                <w:sz w:val="24"/>
                <w:szCs w:val="24"/>
                <w:highlight w:val="none"/>
                <w:u w:val="none"/>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54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position w:val="0"/>
                <w:sz w:val="24"/>
                <w:szCs w:val="24"/>
                <w:highlight w:val="none"/>
                <w:u w:val="none"/>
                <w:lang w:val="en-US"/>
              </w:rPr>
            </w:pPr>
            <w:r>
              <w:rPr>
                <w:rFonts w:hint="eastAsia" w:ascii="仿宋" w:hAnsi="仿宋" w:eastAsia="仿宋" w:cs="仿宋"/>
                <w:color w:val="auto"/>
                <w:position w:val="0"/>
                <w:sz w:val="24"/>
                <w:szCs w:val="24"/>
                <w:highlight w:val="none"/>
                <w:u w:val="none"/>
                <w:lang w:val="en-US" w:eastAsia="zh-CN"/>
              </w:rPr>
              <w:t>10</w:t>
            </w:r>
          </w:p>
        </w:tc>
        <w:tc>
          <w:tcPr>
            <w:tcW w:w="653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color w:val="auto"/>
                <w:kern w:val="2"/>
                <w:position w:val="0"/>
                <w:sz w:val="24"/>
                <w:szCs w:val="24"/>
                <w:highlight w:val="none"/>
                <w:u w:val="none"/>
                <w:lang w:val="en-US" w:eastAsia="zh-CN"/>
              </w:rPr>
            </w:pPr>
            <w:r>
              <w:rPr>
                <w:rFonts w:hint="eastAsia" w:ascii="仿宋" w:hAnsi="仿宋" w:eastAsia="仿宋" w:cs="仿宋"/>
                <w:color w:val="auto"/>
                <w:position w:val="0"/>
                <w:sz w:val="24"/>
                <w:szCs w:val="24"/>
                <w:highlight w:val="none"/>
                <w:u w:val="none"/>
                <w:lang w:val="en-US" w:eastAsia="zh-CN"/>
              </w:rPr>
              <w:t>重点行业用人单位劳动者防噪音耳塞或耳罩正确佩戴率</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kern w:val="2"/>
                <w:position w:val="0"/>
                <w:sz w:val="24"/>
                <w:szCs w:val="24"/>
                <w:highlight w:val="none"/>
                <w:u w:val="none"/>
                <w:lang w:val="en-US" w:eastAsia="zh-CN"/>
              </w:rPr>
            </w:pPr>
            <w:r>
              <w:rPr>
                <w:rFonts w:hint="eastAsia" w:ascii="仿宋" w:hAnsi="仿宋" w:eastAsia="仿宋" w:cs="仿宋"/>
                <w:color w:val="auto"/>
                <w:position w:val="0"/>
                <w:sz w:val="24"/>
                <w:szCs w:val="24"/>
                <w:highlight w:val="none"/>
                <w:u w:val="none"/>
                <w:lang w:val="en-US" w:eastAsia="zh-CN"/>
              </w:rPr>
              <w:t>80%</w:t>
            </w:r>
          </w:p>
        </w:tc>
      </w:tr>
    </w:tbl>
    <w:p>
      <w:pPr>
        <w:widowControl/>
        <w:spacing w:line="560" w:lineRule="atLeast"/>
        <w:ind w:firstLine="707"/>
        <w:jc w:val="both"/>
        <w:rPr>
          <w:rFonts w:ascii="Times New Roman" w:hAnsi="Times New Roman" w:eastAsia="宋体" w:cs="Times New Roman"/>
          <w:color w:val="auto"/>
          <w:kern w:val="0"/>
          <w:position w:val="0"/>
          <w:sz w:val="32"/>
          <w:szCs w:val="32"/>
        </w:rPr>
      </w:pPr>
      <w:r>
        <w:rPr>
          <w:rFonts w:hint="eastAsia" w:ascii="黑体" w:hAnsi="黑体" w:eastAsia="黑体" w:cs="Times New Roman"/>
          <w:color w:val="auto"/>
          <w:kern w:val="0"/>
          <w:position w:val="0"/>
          <w:sz w:val="32"/>
          <w:szCs w:val="32"/>
        </w:rPr>
        <w:t>三、主要任务</w:t>
      </w:r>
    </w:p>
    <w:p>
      <w:pPr>
        <w:keepNext w:val="0"/>
        <w:keepLines w:val="0"/>
        <w:widowControl/>
        <w:suppressLineNumbers w:val="0"/>
        <w:ind w:firstLine="640" w:firstLineChars="200"/>
        <w:jc w:val="both"/>
        <w:rPr>
          <w:rFonts w:hint="eastAsia" w:ascii="仿宋" w:hAnsi="仿宋" w:eastAsia="仿宋" w:cs="仿宋"/>
          <w:b w:val="0"/>
          <w:bCs w:val="0"/>
          <w:color w:val="auto"/>
          <w:kern w:val="2"/>
          <w:position w:val="0"/>
          <w:sz w:val="32"/>
          <w:szCs w:val="32"/>
          <w:lang w:val="en-US" w:eastAsia="zh-CN" w:bidi="ar-SA"/>
        </w:rPr>
      </w:pPr>
      <w:r>
        <w:rPr>
          <w:rFonts w:hint="eastAsia" w:ascii="楷体" w:hAnsi="楷体" w:eastAsia="楷体" w:cs="楷体"/>
          <w:b w:val="0"/>
          <w:bCs w:val="0"/>
          <w:color w:val="auto"/>
          <w:kern w:val="2"/>
          <w:position w:val="0"/>
          <w:sz w:val="32"/>
          <w:szCs w:val="32"/>
          <w:lang w:val="en-US" w:eastAsia="zh-CN" w:bidi="ar-SA"/>
        </w:rPr>
        <w:t>（一）扎实开展职业病危害源头治理。</w:t>
      </w:r>
      <w:r>
        <w:rPr>
          <w:rFonts w:hint="eastAsia" w:ascii="仿宋" w:hAnsi="仿宋" w:eastAsia="仿宋" w:cs="仿宋"/>
          <w:b w:val="0"/>
          <w:bCs w:val="0"/>
          <w:color w:val="auto"/>
          <w:kern w:val="2"/>
          <w:position w:val="0"/>
          <w:sz w:val="32"/>
          <w:szCs w:val="32"/>
          <w:lang w:val="en-US" w:eastAsia="zh-CN" w:bidi="ar-SA"/>
        </w:rPr>
        <w:t>进一步强化用人单位主体责任，依法落实职业病危害项目申报、建设项目职业病防护设施“三同时”、职业病危害因素检测评价、劳动者职业健康检查和健康培训等制度。组织开展“十三五”期间新报告职业病的用人单位重点治理。以粉尘、化学毒物、噪声和辐射等职业病危害严重的行业领域为重点，持续开展职业病危害因素监测和专项治理。建立中小微企业职业健康帮扶机制。加强职业活动中新兴危害的辨识评估和防控，开展肌肉骨骼疾患和职业紧张等防治行动。在机械、轻工、建材等重点行业领域开展听力保护行动，精准指导企业开展噪声危害治理，推动建设听力保护示范企业，提升企业噪声治理能力，保护劳动者听力健康。各级职业病防治技术支撑机构要积极协助和指导住房城乡建设、交通、司法等部门加强环卫工人、“两客一危”从业人员以及从事劳动改造服刑人员等重点领域或特殊机构相关人员的职业健康保护。</w:t>
      </w:r>
    </w:p>
    <w:tbl>
      <w:tblPr>
        <w:tblStyle w:val="6"/>
        <w:tblW w:w="8539"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8539"/>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8539"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500" w:lineRule="atLeast"/>
              <w:jc w:val="center"/>
              <w:rPr>
                <w:rFonts w:ascii="Times New Roman" w:hAnsi="Times New Roman" w:eastAsia="宋体" w:cs="Times New Roman"/>
                <w:color w:val="auto"/>
                <w:kern w:val="0"/>
                <w:sz w:val="32"/>
                <w:szCs w:val="32"/>
              </w:rPr>
            </w:pPr>
            <w:r>
              <w:rPr>
                <w:rFonts w:hint="eastAsia" w:ascii="黑体" w:hAnsi="黑体" w:eastAsia="黑体" w:cs="Times New Roman"/>
                <w:b/>
                <w:bCs/>
                <w:color w:val="auto"/>
                <w:kern w:val="0"/>
                <w:sz w:val="28"/>
                <w:szCs w:val="28"/>
              </w:rPr>
              <w:t>专栏</w:t>
            </w:r>
            <w:r>
              <w:rPr>
                <w:rFonts w:ascii="Times New Roman" w:hAnsi="Times New Roman" w:eastAsia="宋体" w:cs="Times New Roman"/>
                <w:b/>
                <w:bCs/>
                <w:color w:val="auto"/>
                <w:kern w:val="0"/>
                <w:sz w:val="28"/>
                <w:szCs w:val="28"/>
              </w:rPr>
              <w:t xml:space="preserve">1 </w:t>
            </w:r>
            <w:r>
              <w:rPr>
                <w:rFonts w:hint="eastAsia" w:ascii="黑体" w:hAnsi="黑体" w:eastAsia="黑体" w:cs="Times New Roman"/>
                <w:b/>
                <w:bCs/>
                <w:color w:val="auto"/>
                <w:kern w:val="0"/>
                <w:sz w:val="28"/>
                <w:szCs w:val="28"/>
              </w:rPr>
              <w:t>中小微型企业职业健康帮扶行动</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8539"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300" w:lineRule="atLeast"/>
              <w:ind w:firstLine="480"/>
              <w:rPr>
                <w:rFonts w:hint="eastAsia" w:ascii="楷体" w:hAnsi="楷体" w:eastAsia="楷体" w:cs="楷体"/>
                <w:color w:val="auto"/>
                <w:kern w:val="0"/>
                <w:sz w:val="24"/>
                <w:szCs w:val="24"/>
                <w:lang w:val="en-US" w:eastAsia="zh-CN"/>
              </w:rPr>
            </w:pPr>
            <w:r>
              <w:rPr>
                <w:rFonts w:hint="eastAsia" w:ascii="楷体" w:hAnsi="楷体" w:eastAsia="楷体" w:cs="楷体"/>
                <w:b/>
                <w:bCs/>
                <w:color w:val="auto"/>
                <w:kern w:val="0"/>
                <w:sz w:val="24"/>
                <w:szCs w:val="24"/>
              </w:rPr>
              <w:t>行动目标：</w:t>
            </w:r>
            <w:r>
              <w:rPr>
                <w:rFonts w:hint="eastAsia" w:ascii="楷体" w:hAnsi="楷体" w:eastAsia="楷体" w:cs="楷体"/>
                <w:color w:val="auto"/>
                <w:kern w:val="0"/>
                <w:sz w:val="24"/>
                <w:szCs w:val="24"/>
                <w:lang w:val="en-US" w:eastAsia="zh-CN"/>
              </w:rPr>
              <w:t>在采矿业、黑色金属冶炼、有色金属冶炼、建筑业及建材相关行业、化学原料和化学制品制造业等重点行业领域开展职业健康帮扶行动，推动中小微型企业规范职业健康管理，提升职业健康管理水平。</w:t>
            </w:r>
          </w:p>
          <w:p>
            <w:pPr>
              <w:widowControl/>
              <w:spacing w:line="300" w:lineRule="atLeast"/>
              <w:ind w:firstLine="482"/>
              <w:rPr>
                <w:rFonts w:hint="eastAsia" w:ascii="楷体" w:hAnsi="楷体" w:eastAsia="楷体" w:cs="Times New Roman"/>
                <w:b/>
                <w:bCs/>
                <w:color w:val="auto"/>
                <w:kern w:val="0"/>
                <w:sz w:val="24"/>
                <w:szCs w:val="24"/>
              </w:rPr>
            </w:pPr>
            <w:r>
              <w:rPr>
                <w:rFonts w:hint="eastAsia" w:ascii="楷体" w:hAnsi="楷体" w:eastAsia="楷体" w:cs="Times New Roman"/>
                <w:b/>
                <w:bCs/>
                <w:color w:val="auto"/>
                <w:kern w:val="0"/>
                <w:sz w:val="24"/>
                <w:szCs w:val="24"/>
              </w:rPr>
              <w:t>行动内容：</w:t>
            </w:r>
          </w:p>
          <w:p>
            <w:pPr>
              <w:widowControl/>
              <w:spacing w:line="300" w:lineRule="atLeast"/>
              <w:ind w:firstLine="480"/>
              <w:rPr>
                <w:rFonts w:hint="eastAsia" w:ascii="楷体" w:hAnsi="楷体" w:eastAsia="楷体" w:cs="楷体"/>
                <w:color w:val="auto"/>
                <w:kern w:val="0"/>
                <w:sz w:val="24"/>
                <w:szCs w:val="24"/>
                <w:lang w:val="en-US" w:eastAsia="zh-CN"/>
              </w:rPr>
            </w:pPr>
            <w:r>
              <w:rPr>
                <w:rFonts w:hint="eastAsia" w:ascii="楷体" w:hAnsi="楷体" w:eastAsia="楷体" w:cs="楷体"/>
                <w:color w:val="auto"/>
                <w:kern w:val="0"/>
                <w:sz w:val="24"/>
                <w:szCs w:val="24"/>
                <w:lang w:val="en-US" w:eastAsia="zh-CN"/>
              </w:rPr>
              <w:t>1.</w:t>
            </w:r>
            <w:r>
              <w:rPr>
                <w:rFonts w:hint="default" w:ascii="楷体" w:hAnsi="楷体" w:eastAsia="楷体" w:cs="楷体"/>
                <w:color w:val="auto"/>
                <w:kern w:val="0"/>
                <w:sz w:val="24"/>
                <w:szCs w:val="24"/>
                <w:lang w:val="en-US" w:eastAsia="zh-CN"/>
              </w:rPr>
              <w:t>以防治粉尘、化学毒物、噪声、手传振动和辐射危害为重点，制定重点行业领域健康企业建设</w:t>
            </w:r>
            <w:r>
              <w:rPr>
                <w:rFonts w:hint="eastAsia" w:ascii="楷体" w:hAnsi="楷体" w:eastAsia="楷体" w:cs="楷体"/>
                <w:color w:val="auto"/>
                <w:kern w:val="0"/>
                <w:sz w:val="24"/>
                <w:szCs w:val="24"/>
                <w:lang w:val="en-US" w:eastAsia="zh-CN"/>
              </w:rPr>
              <w:t>工作方案</w:t>
            </w:r>
            <w:r>
              <w:rPr>
                <w:rFonts w:hint="default" w:ascii="楷体" w:hAnsi="楷体" w:eastAsia="楷体" w:cs="楷体"/>
                <w:color w:val="auto"/>
                <w:kern w:val="0"/>
                <w:sz w:val="24"/>
                <w:szCs w:val="24"/>
                <w:lang w:val="en-US" w:eastAsia="zh-CN"/>
              </w:rPr>
              <w:t>，开展中小微型企业职业健康帮扶活动。</w:t>
            </w:r>
          </w:p>
          <w:p>
            <w:pPr>
              <w:widowControl/>
              <w:spacing w:line="300" w:lineRule="atLeast"/>
              <w:ind w:firstLine="480"/>
              <w:rPr>
                <w:rFonts w:ascii="Times New Roman" w:hAnsi="Times New Roman" w:eastAsia="宋体" w:cs="Times New Roman"/>
                <w:color w:val="auto"/>
                <w:kern w:val="0"/>
                <w:sz w:val="24"/>
                <w:szCs w:val="24"/>
              </w:rPr>
            </w:pPr>
            <w:r>
              <w:rPr>
                <w:rFonts w:hint="eastAsia" w:ascii="Times New Roman" w:hAnsi="Times New Roman" w:eastAsia="楷体" w:cs="Times New Roman"/>
                <w:color w:val="auto"/>
                <w:kern w:val="0"/>
                <w:sz w:val="24"/>
                <w:szCs w:val="24"/>
              </w:rPr>
              <w:t>2</w:t>
            </w:r>
            <w:r>
              <w:rPr>
                <w:rFonts w:ascii="Times New Roman" w:hAnsi="Times New Roman" w:eastAsia="宋体" w:cs="Times New Roman"/>
                <w:color w:val="auto"/>
                <w:kern w:val="0"/>
                <w:sz w:val="24"/>
                <w:szCs w:val="24"/>
              </w:rPr>
              <w:t>.</w:t>
            </w:r>
            <w:r>
              <w:rPr>
                <w:rFonts w:hint="eastAsia" w:ascii="楷体" w:hAnsi="楷体" w:eastAsia="楷体" w:cs="Times New Roman"/>
                <w:color w:val="auto"/>
                <w:kern w:val="0"/>
                <w:sz w:val="24"/>
                <w:szCs w:val="24"/>
              </w:rPr>
              <w:t>探索中小微型企业帮扶模式，总结帮扶中小微型企业的有效做法，</w:t>
            </w:r>
            <w:r>
              <w:rPr>
                <w:rFonts w:hint="eastAsia" w:ascii="楷体" w:hAnsi="楷体" w:eastAsia="楷体" w:cs="楷体"/>
                <w:color w:val="auto"/>
                <w:kern w:val="0"/>
                <w:sz w:val="24"/>
                <w:szCs w:val="24"/>
              </w:rPr>
              <w:t>以“企业+托管服务单位+卫生监管部门”的联动方式开展职业健康管理和监督执法工作，通过“一企一策”方案帮扶企业；以政府购买服务方式，开展中小微型企业工作场所职业病危害因素检测和职业健康检查工作，或聘请专家团队、技术支撑机构对企业进行精准指导和定点帮扶等。</w:t>
            </w:r>
          </w:p>
          <w:p>
            <w:pPr>
              <w:widowControl/>
              <w:spacing w:line="300" w:lineRule="atLeast"/>
              <w:ind w:firstLine="482"/>
              <w:rPr>
                <w:rFonts w:ascii="Times New Roman" w:hAnsi="Times New Roman" w:eastAsia="宋体" w:cs="Times New Roman"/>
                <w:color w:val="auto"/>
                <w:kern w:val="0"/>
                <w:sz w:val="32"/>
                <w:szCs w:val="32"/>
              </w:rPr>
            </w:pPr>
            <w:r>
              <w:rPr>
                <w:rFonts w:hint="eastAsia" w:ascii="楷体" w:hAnsi="楷体" w:eastAsia="楷体" w:cs="Times New Roman"/>
                <w:b/>
                <w:bCs/>
                <w:color w:val="auto"/>
                <w:kern w:val="0"/>
                <w:sz w:val="24"/>
                <w:szCs w:val="24"/>
              </w:rPr>
              <w:t>预期产出：</w:t>
            </w:r>
            <w:r>
              <w:rPr>
                <w:rFonts w:hint="eastAsia" w:ascii="楷体" w:hAnsi="楷体" w:eastAsia="楷体" w:cs="Times New Roman"/>
                <w:color w:val="auto"/>
                <w:kern w:val="0"/>
                <w:sz w:val="24"/>
                <w:szCs w:val="24"/>
              </w:rPr>
              <w:t>总结推广中小微型企业帮扶经验和模式，提升中小微型企业职业病防治工作水平</w:t>
            </w:r>
            <w:r>
              <w:rPr>
                <w:rFonts w:ascii="Times New Roman" w:hAnsi="Times New Roman" w:eastAsia="宋体" w:cs="Times New Roman"/>
                <w:color w:val="auto"/>
                <w:kern w:val="0"/>
                <w:sz w:val="24"/>
                <w:szCs w:val="24"/>
              </w:rPr>
              <w:t>。</w:t>
            </w:r>
          </w:p>
        </w:tc>
      </w:tr>
    </w:tbl>
    <w:p>
      <w:pPr>
        <w:keepNext w:val="0"/>
        <w:keepLines w:val="0"/>
        <w:widowControl/>
        <w:numPr>
          <w:ilvl w:val="0"/>
          <w:numId w:val="1"/>
        </w:numPr>
        <w:suppressLineNumbers w:val="0"/>
        <w:ind w:firstLine="640" w:firstLineChars="200"/>
        <w:jc w:val="left"/>
        <w:rPr>
          <w:rFonts w:hint="default" w:ascii="仿宋" w:hAnsi="仿宋" w:eastAsia="仿宋" w:cs="仿宋"/>
          <w:b w:val="0"/>
          <w:bCs w:val="0"/>
          <w:color w:val="auto"/>
          <w:kern w:val="2"/>
          <w:sz w:val="32"/>
          <w:szCs w:val="32"/>
          <w:lang w:val="en-US" w:eastAsia="zh-CN" w:bidi="ar-SA"/>
        </w:rPr>
      </w:pPr>
      <w:r>
        <w:rPr>
          <w:rFonts w:hint="eastAsia" w:ascii="楷体" w:hAnsi="楷体" w:eastAsia="楷体" w:cs="楷体"/>
          <w:color w:val="auto"/>
          <w:kern w:val="0"/>
          <w:sz w:val="32"/>
          <w:szCs w:val="32"/>
          <w:lang w:val="en-US" w:eastAsia="zh-CN" w:bidi="ar"/>
        </w:rPr>
        <w:t>切实强化职业健康监督执法。</w:t>
      </w:r>
      <w:r>
        <w:rPr>
          <w:rFonts w:hint="eastAsia" w:ascii="仿宋_GB2312" w:hAnsi="仿宋_GB2312" w:eastAsia="仿宋_GB2312" w:cs="仿宋_GB2312"/>
          <w:color w:val="auto"/>
          <w:kern w:val="0"/>
          <w:sz w:val="32"/>
          <w:szCs w:val="32"/>
          <w:lang w:val="en-US" w:eastAsia="zh-CN" w:bidi="ar"/>
        </w:rPr>
        <w:t>遵循</w:t>
      </w:r>
      <w:r>
        <w:rPr>
          <w:rFonts w:hint="default" w:ascii="仿宋" w:hAnsi="仿宋" w:eastAsia="仿宋" w:cs="仿宋"/>
          <w:b w:val="0"/>
          <w:bCs w:val="0"/>
          <w:color w:val="auto"/>
          <w:kern w:val="2"/>
          <w:sz w:val="32"/>
          <w:szCs w:val="32"/>
          <w:lang w:val="en-US" w:eastAsia="zh-CN" w:bidi="ar-SA"/>
        </w:rPr>
        <w:t>监管任务与监管力量相匹配的原则，建立健全市、县并向乡镇（街道）延伸的职业卫生执法体系，配备必要的执法装备，提升职业卫生执法队伍和执法协助人员的装备水平。加强</w:t>
      </w:r>
      <w:r>
        <w:rPr>
          <w:rFonts w:hint="eastAsia" w:ascii="仿宋" w:hAnsi="仿宋" w:eastAsia="仿宋" w:cs="仿宋"/>
          <w:b w:val="0"/>
          <w:bCs w:val="0"/>
          <w:color w:val="auto"/>
          <w:kern w:val="2"/>
          <w:sz w:val="32"/>
          <w:szCs w:val="32"/>
          <w:lang w:val="en-US" w:eastAsia="zh-CN" w:bidi="ar-SA"/>
        </w:rPr>
        <w:t>各</w:t>
      </w:r>
      <w:r>
        <w:rPr>
          <w:rFonts w:hint="default" w:ascii="仿宋" w:hAnsi="仿宋" w:eastAsia="仿宋" w:cs="仿宋"/>
          <w:b w:val="0"/>
          <w:bCs w:val="0"/>
          <w:color w:val="auto"/>
          <w:kern w:val="2"/>
          <w:sz w:val="32"/>
          <w:szCs w:val="32"/>
          <w:lang w:val="en-US" w:eastAsia="zh-CN" w:bidi="ar-SA"/>
        </w:rPr>
        <w:t>级监管执法人员上岗与在岗期间轮训，提升队伍专业能力和监管执法水平，实现市、县级职业卫生技术人员与卫生监督人员联合监督检查常态化。建立健全镇街职业健康监督检查工作机制，推动镇街将职业健康监督执法纳入镇街综合行政执法，加大监督执法检查力度。建立健全以“双随机、一公开”为基本手段的执法机制，推进分类分级监管执法，加强存在严重职业病危害风险行业领域用人单位</w:t>
      </w:r>
      <w:r>
        <w:rPr>
          <w:rFonts w:hint="eastAsia" w:ascii="仿宋" w:hAnsi="仿宋" w:eastAsia="仿宋" w:cs="仿宋"/>
          <w:b w:val="0"/>
          <w:bCs w:val="0"/>
          <w:color w:val="auto"/>
          <w:kern w:val="2"/>
          <w:sz w:val="32"/>
          <w:szCs w:val="32"/>
          <w:lang w:val="en-US" w:eastAsia="zh-CN" w:bidi="ar-SA"/>
        </w:rPr>
        <w:t>落实职业病危害项目申报等重点制度</w:t>
      </w:r>
      <w:r>
        <w:rPr>
          <w:rFonts w:hint="default" w:ascii="仿宋" w:hAnsi="仿宋" w:eastAsia="仿宋" w:cs="仿宋"/>
          <w:b w:val="0"/>
          <w:bCs w:val="0"/>
          <w:color w:val="auto"/>
          <w:kern w:val="2"/>
          <w:sz w:val="32"/>
          <w:szCs w:val="32"/>
          <w:lang w:val="en-US" w:eastAsia="zh-CN" w:bidi="ar-SA"/>
        </w:rPr>
        <w:t>情况的专项执法。探索建立互联网+监督执法、现场执法与非现场执法相结合、部门联合双随机抽查的执法模式。规范用人单位劳动用工，加强劳动合同、工作时间、工伤保险等监督管理。继续在重点行业中推行集体协商和签订劳动安全卫生专项集体合同，督促用人单位认真履行防治责任，增强劳动者职业病防范意识。督促指导国有企业率先依法落实职业病防治责任。逐步建立完善职业健康不良信用记录及失信惩戒机制，严肃查处违法违规行为。畅通投诉举报渠道，鼓励社会监督，提升监管和执法效能。</w:t>
      </w:r>
    </w:p>
    <w:p>
      <w:pPr>
        <w:keepNext w:val="0"/>
        <w:keepLines w:val="0"/>
        <w:widowControl/>
        <w:numPr>
          <w:ilvl w:val="0"/>
          <w:numId w:val="1"/>
        </w:numPr>
        <w:suppressLineNumbers w:val="0"/>
        <w:ind w:left="0" w:leftChars="0" w:firstLine="640" w:firstLineChars="200"/>
        <w:jc w:val="left"/>
        <w:rPr>
          <w:rFonts w:hint="eastAsia" w:ascii="仿宋" w:hAnsi="仿宋" w:eastAsia="仿宋" w:cs="仿宋"/>
          <w:b w:val="0"/>
          <w:bCs w:val="0"/>
          <w:color w:val="auto"/>
          <w:kern w:val="2"/>
          <w:sz w:val="32"/>
          <w:szCs w:val="32"/>
          <w:lang w:val="en-US" w:eastAsia="zh-CN" w:bidi="ar-SA"/>
        </w:rPr>
      </w:pPr>
      <w:r>
        <w:rPr>
          <w:rFonts w:hint="eastAsia" w:ascii="楷体" w:hAnsi="楷体" w:eastAsia="楷体" w:cs="楷体"/>
          <w:b w:val="0"/>
          <w:bCs w:val="0"/>
          <w:color w:val="auto"/>
          <w:kern w:val="2"/>
          <w:sz w:val="32"/>
          <w:szCs w:val="32"/>
          <w:highlight w:val="none"/>
          <w:u w:val="none"/>
          <w:lang w:val="en-US" w:eastAsia="zh-CN" w:bidi="ar-SA"/>
        </w:rPr>
        <w:t>不断提升职业病救治保障水平。</w:t>
      </w:r>
      <w:r>
        <w:rPr>
          <w:rFonts w:hint="eastAsia" w:ascii="仿宋" w:hAnsi="仿宋" w:eastAsia="仿宋" w:cs="仿宋"/>
          <w:b w:val="0"/>
          <w:bCs w:val="0"/>
          <w:color w:val="auto"/>
          <w:kern w:val="2"/>
          <w:sz w:val="32"/>
          <w:szCs w:val="32"/>
          <w:lang w:val="en-US" w:eastAsia="zh-CN" w:bidi="ar-SA"/>
        </w:rPr>
        <w:t>加强职业病及危害因素监测，完善监测政策和监测体系，扩大监测范围，</w:t>
      </w:r>
      <w:r>
        <w:rPr>
          <w:rFonts w:hint="default" w:ascii="Times New Roman" w:hAnsi="Times New Roman" w:eastAsia="仿宋_GB2312" w:cs="Times New Roman"/>
          <w:color w:val="auto"/>
          <w:kern w:val="2"/>
          <w:sz w:val="32"/>
          <w:szCs w:val="32"/>
          <w:highlight w:val="none"/>
          <w:u w:val="none"/>
          <w:lang w:val="en-US" w:eastAsia="zh-CN"/>
        </w:rPr>
        <w:t>实施尘肺病筛查与随访，</w:t>
      </w:r>
      <w:r>
        <w:rPr>
          <w:rFonts w:hint="eastAsia" w:ascii="仿宋" w:hAnsi="仿宋" w:eastAsia="仿宋" w:cs="仿宋"/>
          <w:b w:val="0"/>
          <w:bCs w:val="0"/>
          <w:color w:val="auto"/>
          <w:kern w:val="2"/>
          <w:sz w:val="32"/>
          <w:szCs w:val="32"/>
          <w:lang w:val="en-US" w:eastAsia="zh-CN" w:bidi="ar-SA"/>
        </w:rPr>
        <w:t>建立健全职业健康检查和职业病诊断基础数据库，开展风险评估，提高预警能力。按照“省市诊断、省市县救治、基层康复”的原则，依托现有的医疗卫生机构建立健全职业病诊断救治康复网络，规范职业病诊断医师管理，建立职业病救治专家队伍，加快临床诊疗康复新技术和药物的推广应用。持续实施尘肺病等重点职业病工伤保险扩面专项行动，将尘肺病等职业病严重的重点行业职工依法纳入工伤保险保障范围。做好各项保障制度的有效衔接，筑牢重点职业病患者的医疗保障体系，加大扩面力度，按规定做好职业病患者的医疗保障。建立卫生健康、民政、人力资源社会保障、医保、工会等单位信息共享和协调联动机制，及时共享新诊断的职业病患者信息，推动实现职业病治疗费用跨市联网结算，依法依规落实各项工伤保险待遇。及时排查新增患者的经济困难状况，将符合条件的职业病患者家庭及时纳入最低生活保障范围，对遭遇突发性、紧迫性、临时性基本生活困难的，按规定及时给予临时救助。对无法明确责任主体的尘肺病患者，落实属地责任，依法开展法律援助，按规定落实医疗救助和基本生活救助等政策。</w:t>
      </w:r>
    </w:p>
    <w:p>
      <w:pPr>
        <w:keepNext w:val="0"/>
        <w:keepLines w:val="0"/>
        <w:widowControl/>
        <w:numPr>
          <w:ilvl w:val="0"/>
          <w:numId w:val="0"/>
        </w:numPr>
        <w:suppressLineNumbers w:val="0"/>
        <w:ind w:firstLine="640" w:firstLineChars="200"/>
        <w:jc w:val="left"/>
        <w:rPr>
          <w:rFonts w:hint="eastAsia" w:ascii="仿宋" w:hAnsi="仿宋" w:eastAsia="仿宋" w:cs="仿宋"/>
          <w:b w:val="0"/>
          <w:bCs w:val="0"/>
          <w:color w:val="auto"/>
          <w:kern w:val="2"/>
          <w:sz w:val="32"/>
          <w:szCs w:val="32"/>
          <w:lang w:val="en-US" w:eastAsia="zh-CN" w:bidi="ar-SA"/>
        </w:rPr>
      </w:pPr>
      <w:r>
        <w:rPr>
          <w:rFonts w:hint="eastAsia" w:ascii="楷体" w:hAnsi="楷体" w:eastAsia="楷体" w:cs="楷体"/>
          <w:b w:val="0"/>
          <w:bCs w:val="0"/>
          <w:color w:val="auto"/>
          <w:kern w:val="2"/>
          <w:sz w:val="32"/>
          <w:szCs w:val="32"/>
          <w:highlight w:val="none"/>
          <w:u w:val="none"/>
          <w:lang w:val="en-US" w:eastAsia="zh-CN" w:bidi="ar-SA"/>
        </w:rPr>
        <w:t>（四）持续健全职业健康技术支撑体系。</w:t>
      </w:r>
      <w:r>
        <w:rPr>
          <w:rFonts w:hint="eastAsia" w:ascii="仿宋" w:hAnsi="仿宋" w:eastAsia="仿宋" w:cs="仿宋"/>
          <w:b w:val="0"/>
          <w:bCs w:val="0"/>
          <w:color w:val="auto"/>
          <w:kern w:val="2"/>
          <w:sz w:val="32"/>
          <w:szCs w:val="32"/>
          <w:lang w:val="en-US" w:eastAsia="zh-CN" w:bidi="ar-SA"/>
        </w:rPr>
        <w:t>健全以职业病监测评估、危害工程防护、诊断救治为主体的，覆盖市、县并延伸至中心镇街的三级职业病防治技术支撑网络体系，指导各级职业病防治机构开展规范化建设。以市职业病防治院、县（区）疾病预防控制机构为主干，完善市、县级职业病及危害因素监测与风险评估技术支撑网络。推动市公共卫生医学中心建设，进一步提升职业病诊疗康复水平。推动各县（区）至少确定1家公立机构承担防治技术支撑，强化尘肺病康复站点的运营管理，推动将重点职业病监测、职业健康宣传教育与健康促进等纳入乡镇卫生院、社区卫生服务中心工作职责。鼓励引导社会力量参与职业卫生技术服务，严格落实职业卫生技术服务机构违规不良行为记分管理制度，对存在违规不良行为严重的职业卫生技术服务机构实施重点监管，推动形成布局合理、服务规范的职业卫生技术服务体系。加强和省及兄弟市交流与合作，同时，强化对各县区的专业指导，通过“上送、下派”的方式持续加强市、县级职业健康检测评价、工程防护、诊断救治等技术人才培养。推送更多符合条件的专业技术人员加入省级职业健康专家库，组建市级职业健康专家团队，充分发挥专家队伍在职业卫生监督执法、职业病危害事故调查处理、职业健康宣传教育培训等方面的作用。</w:t>
      </w:r>
    </w:p>
    <w:tbl>
      <w:tblPr>
        <w:tblStyle w:val="6"/>
        <w:tblW w:w="8539"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8539"/>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8539"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500" w:lineRule="atLeast"/>
              <w:jc w:val="center"/>
              <w:rPr>
                <w:rFonts w:hint="default" w:ascii="Times New Roman" w:hAnsi="Times New Roman" w:eastAsia="宋体" w:cs="Times New Roman"/>
                <w:color w:val="auto"/>
                <w:kern w:val="0"/>
                <w:sz w:val="32"/>
                <w:szCs w:val="32"/>
                <w:lang w:val="en-US" w:eastAsia="zh-CN"/>
              </w:rPr>
            </w:pPr>
            <w:r>
              <w:rPr>
                <w:rFonts w:hint="eastAsia" w:ascii="黑体" w:hAnsi="黑体" w:eastAsia="黑体" w:cs="Times New Roman"/>
                <w:b/>
                <w:bCs/>
                <w:color w:val="auto"/>
                <w:kern w:val="0"/>
                <w:sz w:val="28"/>
                <w:szCs w:val="28"/>
              </w:rPr>
              <w:t>专栏</w:t>
            </w:r>
            <w:r>
              <w:rPr>
                <w:rFonts w:hint="eastAsia" w:cs="Times New Roman"/>
                <w:b/>
                <w:bCs/>
                <w:color w:val="auto"/>
                <w:kern w:val="0"/>
                <w:sz w:val="28"/>
                <w:szCs w:val="28"/>
                <w:lang w:val="en-US" w:eastAsia="zh-CN"/>
              </w:rPr>
              <w:t>2</w:t>
            </w:r>
            <w:r>
              <w:rPr>
                <w:rFonts w:ascii="Times New Roman" w:hAnsi="Times New Roman" w:eastAsia="宋体" w:cs="Times New Roman"/>
                <w:b/>
                <w:bCs/>
                <w:color w:val="auto"/>
                <w:kern w:val="0"/>
                <w:sz w:val="28"/>
                <w:szCs w:val="28"/>
              </w:rPr>
              <w:t xml:space="preserve"> </w:t>
            </w:r>
            <w:r>
              <w:rPr>
                <w:rFonts w:hint="eastAsia" w:ascii="黑体" w:hAnsi="黑体" w:eastAsia="黑体" w:cs="Times New Roman"/>
                <w:b/>
                <w:bCs/>
                <w:color w:val="auto"/>
                <w:kern w:val="0"/>
                <w:sz w:val="28"/>
                <w:szCs w:val="28"/>
                <w:lang w:val="en-US" w:eastAsia="zh-CN"/>
              </w:rPr>
              <w:t>职业病防治技术支撑体系建设</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8539"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300" w:lineRule="atLeast"/>
              <w:ind w:firstLine="482"/>
              <w:rPr>
                <w:rFonts w:hint="eastAsia" w:ascii="楷体" w:hAnsi="楷体" w:eastAsia="楷体" w:cs="楷体"/>
                <w:color w:val="auto"/>
                <w:kern w:val="0"/>
                <w:sz w:val="24"/>
                <w:szCs w:val="24"/>
                <w:lang w:val="en-US" w:eastAsia="zh-CN"/>
              </w:rPr>
            </w:pPr>
            <w:r>
              <w:rPr>
                <w:rFonts w:hint="eastAsia" w:ascii="楷体" w:hAnsi="楷体" w:eastAsia="楷体" w:cs="楷体"/>
                <w:b/>
                <w:bCs/>
                <w:color w:val="auto"/>
                <w:kern w:val="0"/>
                <w:sz w:val="24"/>
                <w:szCs w:val="24"/>
              </w:rPr>
              <w:t>行动目标：</w:t>
            </w:r>
            <w:r>
              <w:rPr>
                <w:rFonts w:hint="eastAsia" w:ascii="楷体" w:hAnsi="楷体" w:eastAsia="楷体" w:cs="Times New Roman"/>
                <w:color w:val="auto"/>
                <w:kern w:val="0"/>
                <w:sz w:val="24"/>
                <w:szCs w:val="24"/>
              </w:rPr>
              <w:t>加快职业病防治技术支撑体系建设，健全完善市、县级并向乡镇延伸的职业病防治技术支撑体系。</w:t>
            </w:r>
          </w:p>
          <w:p>
            <w:pPr>
              <w:widowControl/>
              <w:spacing w:line="300" w:lineRule="atLeast"/>
              <w:ind w:firstLine="482"/>
              <w:rPr>
                <w:rFonts w:ascii="Times New Roman" w:hAnsi="Times New Roman" w:eastAsia="宋体" w:cs="Times New Roman"/>
                <w:color w:val="auto"/>
                <w:kern w:val="0"/>
                <w:sz w:val="24"/>
                <w:szCs w:val="24"/>
              </w:rPr>
            </w:pPr>
            <w:r>
              <w:rPr>
                <w:rFonts w:hint="eastAsia" w:ascii="楷体" w:hAnsi="楷体" w:eastAsia="楷体" w:cs="Times New Roman"/>
                <w:b/>
                <w:bCs/>
                <w:color w:val="auto"/>
                <w:kern w:val="0"/>
                <w:sz w:val="24"/>
                <w:szCs w:val="24"/>
              </w:rPr>
              <w:t>行动内容</w:t>
            </w:r>
            <w:r>
              <w:rPr>
                <w:rFonts w:ascii="Times New Roman" w:hAnsi="Times New Roman" w:eastAsia="宋体" w:cs="Times New Roman"/>
                <w:b/>
                <w:bCs/>
                <w:color w:val="auto"/>
                <w:kern w:val="0"/>
                <w:sz w:val="24"/>
                <w:szCs w:val="24"/>
              </w:rPr>
              <w:t>：</w:t>
            </w:r>
          </w:p>
          <w:p>
            <w:pPr>
              <w:widowControl/>
              <w:spacing w:line="300" w:lineRule="atLeast"/>
              <w:ind w:firstLine="480"/>
              <w:rPr>
                <w:rFonts w:hint="eastAsia" w:ascii="楷体" w:hAnsi="楷体" w:eastAsia="楷体" w:cs="楷体"/>
                <w:color w:val="auto"/>
                <w:kern w:val="0"/>
                <w:sz w:val="24"/>
                <w:szCs w:val="24"/>
                <w:lang w:val="en-US" w:eastAsia="zh-CN"/>
              </w:rPr>
            </w:pPr>
            <w:r>
              <w:rPr>
                <w:rFonts w:hint="eastAsia" w:ascii="楷体" w:hAnsi="楷体" w:eastAsia="楷体" w:cs="楷体"/>
                <w:color w:val="auto"/>
                <w:kern w:val="0"/>
                <w:sz w:val="24"/>
                <w:szCs w:val="24"/>
                <w:lang w:val="en-US" w:eastAsia="zh-CN"/>
              </w:rPr>
              <w:t>1.推进市公共卫生医学中心建设，依照《广东省职业病防治机构规范化建设指导意见（试行）》的要求开展职业病防治中心设计和建设。</w:t>
            </w:r>
          </w:p>
          <w:p>
            <w:pPr>
              <w:widowControl/>
              <w:spacing w:line="300" w:lineRule="atLeast"/>
              <w:ind w:firstLine="480"/>
              <w:rPr>
                <w:rFonts w:hint="default" w:ascii="楷体" w:hAnsi="楷体" w:eastAsia="楷体" w:cs="Times New Roman"/>
                <w:color w:val="auto"/>
                <w:kern w:val="0"/>
                <w:sz w:val="24"/>
                <w:szCs w:val="24"/>
                <w:lang w:val="en-US" w:eastAsia="zh-CN"/>
              </w:rPr>
            </w:pPr>
            <w:r>
              <w:rPr>
                <w:rFonts w:hint="eastAsia" w:ascii="楷体" w:hAnsi="楷体" w:eastAsia="楷体" w:cs="Times New Roman"/>
                <w:color w:val="auto"/>
                <w:kern w:val="0"/>
                <w:sz w:val="24"/>
                <w:szCs w:val="24"/>
              </w:rPr>
              <w:t>2.</w:t>
            </w:r>
            <w:r>
              <w:rPr>
                <w:rFonts w:hint="eastAsia" w:ascii="楷体" w:hAnsi="楷体" w:eastAsia="楷体" w:cs="Times New Roman"/>
                <w:color w:val="auto"/>
                <w:kern w:val="0"/>
                <w:sz w:val="24"/>
                <w:szCs w:val="24"/>
                <w:lang w:val="en-US" w:eastAsia="zh-CN"/>
              </w:rPr>
              <w:t>支持市职业病防治院能力建设，健全相关职业卫生技术服务资质。</w:t>
            </w:r>
          </w:p>
          <w:p>
            <w:pPr>
              <w:widowControl/>
              <w:spacing w:line="300" w:lineRule="atLeast"/>
              <w:ind w:firstLine="480"/>
              <w:rPr>
                <w:rFonts w:hint="eastAsia" w:ascii="楷体" w:hAnsi="楷体" w:eastAsia="楷体" w:cs="Times New Roman"/>
                <w:color w:val="auto"/>
                <w:kern w:val="0"/>
                <w:sz w:val="24"/>
                <w:szCs w:val="24"/>
                <w:lang w:val="en-US" w:eastAsia="zh-CN"/>
              </w:rPr>
            </w:pPr>
            <w:r>
              <w:rPr>
                <w:rFonts w:hint="eastAsia" w:ascii="楷体" w:hAnsi="楷体" w:eastAsia="楷体" w:cs="Times New Roman"/>
                <w:color w:val="auto"/>
                <w:kern w:val="0"/>
                <w:sz w:val="24"/>
                <w:szCs w:val="24"/>
                <w:lang w:val="en-US" w:eastAsia="zh-CN"/>
              </w:rPr>
              <w:t>3.依托县区疾病预防控制中心，健全内设机构和人员配备，进一步加强县区级职业病防治技术支撑能力建设。</w:t>
            </w:r>
          </w:p>
          <w:p>
            <w:pPr>
              <w:pStyle w:val="2"/>
              <w:ind w:firstLine="480" w:firstLineChars="200"/>
              <w:jc w:val="left"/>
              <w:rPr>
                <w:rFonts w:hint="default"/>
                <w:color w:val="auto"/>
                <w:lang w:val="en-US" w:eastAsia="zh-CN"/>
              </w:rPr>
            </w:pPr>
            <w:r>
              <w:rPr>
                <w:rFonts w:hint="eastAsia" w:ascii="楷体" w:hAnsi="楷体" w:eastAsia="楷体" w:cs="Times New Roman"/>
                <w:color w:val="auto"/>
                <w:kern w:val="0"/>
                <w:sz w:val="24"/>
                <w:szCs w:val="24"/>
                <w:lang w:val="en-US" w:eastAsia="zh-CN"/>
              </w:rPr>
              <w:t>4.健全完善尘肺病康复站点的运营管理，提升职业健康宣传教育、健康损害筛查、康复治疗能力。</w:t>
            </w:r>
          </w:p>
          <w:p>
            <w:pPr>
              <w:widowControl/>
              <w:spacing w:line="300" w:lineRule="atLeast"/>
              <w:ind w:firstLine="482"/>
              <w:rPr>
                <w:rFonts w:ascii="Times New Roman" w:hAnsi="Times New Roman" w:eastAsia="宋体" w:cs="Times New Roman"/>
                <w:color w:val="auto"/>
                <w:kern w:val="0"/>
                <w:sz w:val="32"/>
                <w:szCs w:val="32"/>
              </w:rPr>
            </w:pPr>
            <w:r>
              <w:rPr>
                <w:rFonts w:hint="eastAsia" w:ascii="楷体" w:hAnsi="楷体" w:eastAsia="楷体" w:cs="Times New Roman"/>
                <w:b/>
                <w:bCs/>
                <w:color w:val="auto"/>
                <w:kern w:val="0"/>
                <w:sz w:val="24"/>
                <w:szCs w:val="24"/>
              </w:rPr>
              <w:t>预期产出：</w:t>
            </w:r>
            <w:r>
              <w:rPr>
                <w:rFonts w:hint="eastAsia" w:ascii="楷体" w:hAnsi="楷体" w:eastAsia="楷体" w:cs="Times New Roman"/>
                <w:b w:val="0"/>
                <w:bCs w:val="0"/>
                <w:color w:val="auto"/>
                <w:kern w:val="0"/>
                <w:sz w:val="24"/>
                <w:szCs w:val="24"/>
              </w:rPr>
              <w:t>职业病监测评估、职业病危害工程防护、职业病诊断救治三大技术支撑网络基本建成，技术支撑能力进一步提升，达到《国家卫生健康委关于加强职业病防治技术支撑体系建设的指导意见》（国卫职健发〔2020〕5号）要求。</w:t>
            </w:r>
          </w:p>
        </w:tc>
      </w:tr>
    </w:tbl>
    <w:p>
      <w:pPr>
        <w:keepNext w:val="0"/>
        <w:keepLines w:val="0"/>
        <w:widowControl/>
        <w:suppressLineNumbers w:val="0"/>
        <w:ind w:firstLine="640" w:firstLineChars="200"/>
        <w:jc w:val="left"/>
        <w:rPr>
          <w:rFonts w:hint="eastAsia" w:ascii="仿宋" w:hAnsi="仿宋" w:eastAsia="仿宋" w:cs="仿宋"/>
          <w:b w:val="0"/>
          <w:bCs w:val="0"/>
          <w:color w:val="auto"/>
          <w:kern w:val="2"/>
          <w:sz w:val="32"/>
          <w:szCs w:val="32"/>
          <w:lang w:val="en-US" w:eastAsia="zh-CN" w:bidi="ar-SA"/>
        </w:rPr>
      </w:pPr>
      <w:r>
        <w:rPr>
          <w:rFonts w:hint="eastAsia" w:ascii="楷体" w:hAnsi="楷体" w:eastAsia="楷体" w:cs="楷体"/>
          <w:b w:val="0"/>
          <w:bCs w:val="0"/>
          <w:color w:val="auto"/>
          <w:kern w:val="2"/>
          <w:sz w:val="32"/>
          <w:szCs w:val="32"/>
          <w:highlight w:val="none"/>
          <w:u w:val="none"/>
          <w:lang w:val="en-US" w:eastAsia="zh-CN" w:bidi="ar-SA"/>
        </w:rPr>
        <w:t>（五）积极推进职业健康保护行动。</w:t>
      </w:r>
      <w:r>
        <w:rPr>
          <w:rFonts w:hint="eastAsia" w:ascii="仿宋" w:hAnsi="仿宋" w:eastAsia="仿宋" w:cs="仿宋"/>
          <w:b w:val="0"/>
          <w:bCs w:val="0"/>
          <w:color w:val="auto"/>
          <w:kern w:val="2"/>
          <w:sz w:val="32"/>
          <w:szCs w:val="32"/>
          <w:lang w:val="en-US" w:eastAsia="zh-CN" w:bidi="ar-SA"/>
        </w:rPr>
        <w:t>结合“健康中国”战略实施和“健康广东”“健康河源”建设行动，持续开展《职业病防治法》宣传周等活动，大力开展健康教育和健康促进活动，在全社会营造关心关注职业健康的文化氛围。加强用人单位主要负责人、职业健康管理人员培训工作，指导督促用人单位做好接触职业病危害劳动者全员培训。加强医疗机构重点科室医务人员的职业病法规和职业病诊疗知识宣传培训，提升临床医务人员及时发现、报告疑似职业病和急性职业中毒事件的意识和能力。各级工伤保险基金要安排工伤预防费对职业病预防宣传培训经费予以保障。将健康企业建设纳入健康城市、健康村镇建设内容，鼓励用人单位建立完善与劳动者健康相关的各项规章制度，建设整洁卫生、绿色环保的健康环境，开展健康知识普及，完善职业健康监护、传染病和慢病防控、心理健康辅导等健康服务，营造积极向上、和谐包容的健康文化，建设一批健康企业。探索将健康企业建设情况纳入工伤保险浮动费率调整因素，充分发挥工伤保险浮动费率在推进健康企业建设方面作用。加强重点行业职业人群健康素养监测与干预，支持鼓励矿山、冶金、化工、建材、建筑施工企业和医疗卫生机构、学校、公安、救援、交通运输等单位，积极开展“职业健康达人”评选推荐活动。</w:t>
      </w:r>
    </w:p>
    <w:p>
      <w:pPr>
        <w:keepNext w:val="0"/>
        <w:keepLines w:val="0"/>
        <w:widowControl/>
        <w:suppressLineNumbers w:val="0"/>
        <w:ind w:firstLine="640" w:firstLineChars="200"/>
        <w:jc w:val="left"/>
        <w:rPr>
          <w:rFonts w:hint="default" w:ascii="仿宋" w:hAnsi="仿宋" w:eastAsia="仿宋" w:cs="仿宋"/>
          <w:b w:val="0"/>
          <w:bCs w:val="0"/>
          <w:color w:val="auto"/>
          <w:kern w:val="2"/>
          <w:sz w:val="32"/>
          <w:szCs w:val="32"/>
          <w:lang w:val="en-US" w:eastAsia="zh-CN" w:bidi="ar-SA"/>
        </w:rPr>
      </w:pPr>
      <w:r>
        <w:rPr>
          <w:rFonts w:hint="eastAsia" w:ascii="楷体" w:hAnsi="楷体" w:eastAsia="楷体" w:cs="楷体"/>
          <w:b w:val="0"/>
          <w:bCs w:val="0"/>
          <w:color w:val="auto"/>
          <w:kern w:val="2"/>
          <w:sz w:val="32"/>
          <w:szCs w:val="32"/>
          <w:highlight w:val="none"/>
          <w:u w:val="none"/>
          <w:lang w:val="en-US" w:eastAsia="zh-CN" w:bidi="ar-SA"/>
        </w:rPr>
        <w:t>（六）</w:t>
      </w:r>
      <w:r>
        <w:rPr>
          <w:rFonts w:hint="default" w:ascii="楷体" w:hAnsi="楷体" w:eastAsia="楷体" w:cs="楷体"/>
          <w:b w:val="0"/>
          <w:bCs w:val="0"/>
          <w:color w:val="auto"/>
          <w:kern w:val="2"/>
          <w:sz w:val="32"/>
          <w:szCs w:val="32"/>
          <w:highlight w:val="none"/>
          <w:u w:val="none"/>
          <w:lang w:val="en-US" w:eastAsia="zh-CN" w:bidi="ar-SA"/>
        </w:rPr>
        <w:t>切实加强职业健康信息化建设。</w:t>
      </w:r>
      <w:r>
        <w:rPr>
          <w:rFonts w:hint="default" w:ascii="仿宋" w:hAnsi="仿宋" w:eastAsia="仿宋" w:cs="仿宋"/>
          <w:b w:val="0"/>
          <w:bCs w:val="0"/>
          <w:color w:val="auto"/>
          <w:kern w:val="2"/>
          <w:sz w:val="32"/>
          <w:szCs w:val="32"/>
          <w:lang w:val="en-US" w:eastAsia="zh-CN" w:bidi="ar-SA"/>
        </w:rPr>
        <w:t>按照统一规划、安全规范、功能完备、共建共享的原则，依托全</w:t>
      </w:r>
      <w:r>
        <w:rPr>
          <w:rFonts w:hint="eastAsia" w:ascii="仿宋" w:hAnsi="仿宋" w:eastAsia="仿宋" w:cs="仿宋"/>
          <w:b w:val="0"/>
          <w:bCs w:val="0"/>
          <w:color w:val="auto"/>
          <w:kern w:val="2"/>
          <w:sz w:val="32"/>
          <w:szCs w:val="32"/>
          <w:lang w:val="en-US" w:eastAsia="zh-CN" w:bidi="ar-SA"/>
        </w:rPr>
        <w:t>市</w:t>
      </w:r>
      <w:r>
        <w:rPr>
          <w:rFonts w:hint="default" w:ascii="仿宋" w:hAnsi="仿宋" w:eastAsia="仿宋" w:cs="仿宋"/>
          <w:b w:val="0"/>
          <w:bCs w:val="0"/>
          <w:color w:val="auto"/>
          <w:kern w:val="2"/>
          <w:sz w:val="32"/>
          <w:szCs w:val="32"/>
          <w:lang w:val="en-US" w:eastAsia="zh-CN" w:bidi="ar-SA"/>
        </w:rPr>
        <w:t>全民健康信息平台，构建覆盖市、县级的职业健康管理“一张网”。充分整合现有信息系统和数据资源，实现职业病危害项目申报、职业病与职业病危害因素监测、职业健康检查、职业病报告等信息的互联互通和共建共享。</w:t>
      </w:r>
      <w:r>
        <w:rPr>
          <w:rFonts w:hint="eastAsia" w:ascii="仿宋" w:hAnsi="仿宋" w:eastAsia="仿宋" w:cs="仿宋"/>
          <w:b w:val="0"/>
          <w:bCs w:val="0"/>
          <w:color w:val="auto"/>
          <w:kern w:val="2"/>
          <w:sz w:val="32"/>
          <w:szCs w:val="32"/>
          <w:lang w:val="en-US" w:eastAsia="zh-CN" w:bidi="ar-SA"/>
        </w:rPr>
        <w:t>市卫生健康</w:t>
      </w:r>
      <w:r>
        <w:rPr>
          <w:rFonts w:hint="default" w:ascii="仿宋" w:hAnsi="仿宋" w:eastAsia="仿宋" w:cs="仿宋"/>
          <w:b w:val="0"/>
          <w:bCs w:val="0"/>
          <w:color w:val="auto"/>
          <w:kern w:val="2"/>
          <w:sz w:val="32"/>
          <w:szCs w:val="32"/>
          <w:lang w:val="en-US" w:eastAsia="zh-CN" w:bidi="ar-SA"/>
        </w:rPr>
        <w:t>与发展改革、工业和信息化、民政、人力资源社会保障、生态环境、应急管理、公安、税务、市场监管、医保、银保监、工会等部门要依托</w:t>
      </w:r>
      <w:r>
        <w:rPr>
          <w:rFonts w:hint="eastAsia" w:ascii="仿宋" w:hAnsi="仿宋" w:eastAsia="仿宋" w:cs="仿宋"/>
          <w:b w:val="0"/>
          <w:bCs w:val="0"/>
          <w:color w:val="auto"/>
          <w:kern w:val="2"/>
          <w:sz w:val="32"/>
          <w:szCs w:val="32"/>
          <w:lang w:val="en-US" w:eastAsia="zh-CN" w:bidi="ar-SA"/>
        </w:rPr>
        <w:t>市</w:t>
      </w:r>
      <w:r>
        <w:rPr>
          <w:rFonts w:hint="default" w:ascii="仿宋" w:hAnsi="仿宋" w:eastAsia="仿宋" w:cs="仿宋"/>
          <w:b w:val="0"/>
          <w:bCs w:val="0"/>
          <w:color w:val="auto"/>
          <w:kern w:val="2"/>
          <w:sz w:val="32"/>
          <w:szCs w:val="32"/>
          <w:lang w:val="en-US" w:eastAsia="zh-CN" w:bidi="ar-SA"/>
        </w:rPr>
        <w:t>政务大数据中心，</w:t>
      </w:r>
      <w:r>
        <w:rPr>
          <w:rFonts w:hint="eastAsia" w:ascii="仿宋" w:hAnsi="仿宋" w:eastAsia="仿宋" w:cs="仿宋"/>
          <w:b w:val="0"/>
          <w:bCs w:val="0"/>
          <w:color w:val="auto"/>
          <w:kern w:val="2"/>
          <w:sz w:val="32"/>
          <w:szCs w:val="32"/>
          <w:lang w:val="en-US" w:eastAsia="zh-CN" w:bidi="ar-SA"/>
        </w:rPr>
        <w:t>建立</w:t>
      </w:r>
      <w:r>
        <w:rPr>
          <w:rFonts w:hint="default" w:ascii="仿宋" w:hAnsi="仿宋" w:eastAsia="仿宋" w:cs="仿宋"/>
          <w:b w:val="0"/>
          <w:bCs w:val="0"/>
          <w:color w:val="auto"/>
          <w:kern w:val="2"/>
          <w:sz w:val="32"/>
          <w:szCs w:val="32"/>
          <w:lang w:val="en-US" w:eastAsia="zh-CN" w:bidi="ar-SA"/>
        </w:rPr>
        <w:t>职业健康相关信息的互通共享机制。</w:t>
      </w:r>
      <w:r>
        <w:rPr>
          <w:rFonts w:hint="eastAsia" w:ascii="仿宋" w:hAnsi="仿宋" w:eastAsia="仿宋" w:cs="仿宋"/>
          <w:b w:val="0"/>
          <w:bCs w:val="0"/>
          <w:color w:val="auto"/>
          <w:kern w:val="2"/>
          <w:sz w:val="32"/>
          <w:szCs w:val="32"/>
          <w:lang w:val="en-US" w:eastAsia="zh-CN" w:bidi="ar-SA"/>
        </w:rPr>
        <w:t>要</w:t>
      </w:r>
      <w:r>
        <w:rPr>
          <w:rFonts w:hint="default" w:ascii="仿宋" w:hAnsi="仿宋" w:eastAsia="仿宋" w:cs="仿宋"/>
          <w:b w:val="0"/>
          <w:bCs w:val="0"/>
          <w:color w:val="auto"/>
          <w:kern w:val="2"/>
          <w:sz w:val="32"/>
          <w:szCs w:val="32"/>
          <w:lang w:val="en-US" w:eastAsia="zh-CN" w:bidi="ar-SA"/>
        </w:rPr>
        <w:t>按照便民利企、优化服务的要求，大力</w:t>
      </w:r>
      <w:r>
        <w:rPr>
          <w:rFonts w:hint="eastAsia" w:ascii="仿宋" w:hAnsi="仿宋" w:eastAsia="仿宋" w:cs="仿宋"/>
          <w:b w:val="0"/>
          <w:bCs w:val="0"/>
          <w:color w:val="auto"/>
          <w:kern w:val="2"/>
          <w:sz w:val="32"/>
          <w:szCs w:val="32"/>
          <w:lang w:val="en-US" w:eastAsia="zh-CN" w:bidi="ar-SA"/>
        </w:rPr>
        <w:t>推行</w:t>
      </w:r>
      <w:r>
        <w:rPr>
          <w:rFonts w:hint="default" w:ascii="仿宋" w:hAnsi="仿宋" w:eastAsia="仿宋" w:cs="仿宋"/>
          <w:b w:val="0"/>
          <w:bCs w:val="0"/>
          <w:color w:val="auto"/>
          <w:kern w:val="2"/>
          <w:sz w:val="32"/>
          <w:szCs w:val="32"/>
          <w:lang w:val="en-US" w:eastAsia="zh-CN" w:bidi="ar-SA"/>
        </w:rPr>
        <w:t>“互联网＋职业健康服务”。规范职业健康信息管理，保障数据安全。强化数据统计与分析，充分发挥数据在职业健康监管决策中的作用。鼓励和支持用人单位加强信息化建设，提升职业健康管理水平。</w:t>
      </w:r>
    </w:p>
    <w:p>
      <w:pPr>
        <w:keepNext w:val="0"/>
        <w:keepLines w:val="0"/>
        <w:widowControl/>
        <w:suppressLineNumbers w:val="0"/>
        <w:ind w:firstLine="640" w:firstLineChars="200"/>
        <w:jc w:val="left"/>
        <w:rPr>
          <w:rFonts w:hint="eastAsia" w:ascii="仿宋" w:hAnsi="仿宋" w:eastAsia="仿宋" w:cs="仿宋"/>
          <w:b w:val="0"/>
          <w:bCs w:val="0"/>
          <w:color w:val="auto"/>
          <w:kern w:val="2"/>
          <w:sz w:val="32"/>
          <w:szCs w:val="32"/>
          <w:lang w:val="en-US" w:eastAsia="zh-CN" w:bidi="ar-SA"/>
        </w:rPr>
      </w:pPr>
      <w:r>
        <w:rPr>
          <w:rFonts w:hint="eastAsia" w:ascii="楷体" w:hAnsi="楷体" w:eastAsia="楷体" w:cs="楷体"/>
          <w:b w:val="0"/>
          <w:bCs w:val="0"/>
          <w:color w:val="auto"/>
          <w:kern w:val="2"/>
          <w:sz w:val="32"/>
          <w:szCs w:val="32"/>
          <w:highlight w:val="none"/>
          <w:u w:val="none"/>
          <w:lang w:val="en-US" w:eastAsia="zh-CN" w:bidi="ar-SA"/>
        </w:rPr>
        <w:t>（七）充分发挥职业健康科技支撑保障作用。</w:t>
      </w:r>
      <w:r>
        <w:rPr>
          <w:rFonts w:hint="default" w:ascii="仿宋" w:hAnsi="仿宋" w:eastAsia="仿宋" w:cs="仿宋"/>
          <w:b w:val="0"/>
          <w:bCs w:val="0"/>
          <w:color w:val="auto"/>
          <w:kern w:val="2"/>
          <w:sz w:val="32"/>
          <w:szCs w:val="32"/>
          <w:lang w:val="en-US" w:eastAsia="zh-CN" w:bidi="ar-SA"/>
        </w:rPr>
        <w:t>推动将职业健康相关技术纳入</w:t>
      </w:r>
      <w:r>
        <w:rPr>
          <w:rFonts w:hint="eastAsia" w:ascii="仿宋" w:hAnsi="仿宋" w:eastAsia="仿宋" w:cs="仿宋"/>
          <w:b w:val="0"/>
          <w:bCs w:val="0"/>
          <w:color w:val="auto"/>
          <w:kern w:val="2"/>
          <w:sz w:val="32"/>
          <w:szCs w:val="32"/>
          <w:lang w:val="en-US" w:eastAsia="zh-CN" w:bidi="ar-SA"/>
        </w:rPr>
        <w:t>市县</w:t>
      </w:r>
      <w:r>
        <w:rPr>
          <w:rFonts w:hint="default" w:ascii="仿宋" w:hAnsi="仿宋" w:eastAsia="仿宋" w:cs="仿宋"/>
          <w:b w:val="0"/>
          <w:bCs w:val="0"/>
          <w:color w:val="auto"/>
          <w:kern w:val="2"/>
          <w:sz w:val="32"/>
          <w:szCs w:val="32"/>
          <w:lang w:val="en-US" w:eastAsia="zh-CN" w:bidi="ar-SA"/>
        </w:rPr>
        <w:t>级科技计划</w:t>
      </w:r>
      <w:r>
        <w:rPr>
          <w:rFonts w:hint="eastAsia" w:ascii="仿宋" w:hAnsi="仿宋" w:eastAsia="仿宋" w:cs="仿宋"/>
          <w:b w:val="0"/>
          <w:bCs w:val="0"/>
          <w:color w:val="auto"/>
          <w:kern w:val="2"/>
          <w:sz w:val="32"/>
          <w:szCs w:val="32"/>
          <w:lang w:val="en-US" w:eastAsia="zh-CN" w:bidi="ar-SA"/>
        </w:rPr>
        <w:t>。推进高等院校、科研院所、企业和技术支撑机构合作共建，深化产学研融合。鼓励企业自主研发、改进职业病防护设施性能；鼓励各类各级单位和机构开展职业中毒监测预警、防控和应急救治关键技术和装备研究，辐射危害监测、防控技术与装备研究。</w:t>
      </w:r>
    </w:p>
    <w:p>
      <w:pPr>
        <w:keepNext w:val="0"/>
        <w:keepLines w:val="0"/>
        <w:widowControl/>
        <w:suppressLineNumbers w:val="0"/>
        <w:ind w:firstLine="640" w:firstLineChars="200"/>
        <w:jc w:val="left"/>
        <w:rPr>
          <w:rFonts w:hint="eastAsia" w:ascii="黑体" w:hAnsi="黑体" w:eastAsia="黑体" w:cs="Times New Roman"/>
          <w:color w:val="auto"/>
          <w:kern w:val="0"/>
          <w:sz w:val="32"/>
          <w:szCs w:val="32"/>
          <w:lang w:val="en-US" w:eastAsia="zh-CN"/>
        </w:rPr>
      </w:pPr>
      <w:r>
        <w:rPr>
          <w:rFonts w:hint="eastAsia" w:ascii="仿宋" w:hAnsi="仿宋" w:eastAsia="仿宋" w:cs="仿宋"/>
          <w:b w:val="0"/>
          <w:bCs w:val="0"/>
          <w:color w:val="auto"/>
          <w:kern w:val="2"/>
          <w:sz w:val="32"/>
          <w:szCs w:val="32"/>
          <w:lang w:val="en-US" w:eastAsia="zh-CN" w:bidi="ar-SA"/>
        </w:rPr>
        <w:t xml:space="preserve"> </w:t>
      </w:r>
      <w:r>
        <w:rPr>
          <w:rFonts w:hint="eastAsia" w:ascii="黑体" w:hAnsi="黑体" w:eastAsia="黑体" w:cs="Times New Roman"/>
          <w:color w:val="auto"/>
          <w:kern w:val="0"/>
          <w:sz w:val="32"/>
          <w:szCs w:val="32"/>
          <w:lang w:val="en-US" w:eastAsia="zh-CN"/>
        </w:rPr>
        <w:t>四、保障措施</w:t>
      </w:r>
    </w:p>
    <w:p>
      <w:pPr>
        <w:keepNext w:val="0"/>
        <w:keepLines w:val="0"/>
        <w:widowControl/>
        <w:suppressLineNumbers w:val="0"/>
        <w:ind w:firstLine="640" w:firstLineChars="200"/>
        <w:jc w:val="left"/>
        <w:rPr>
          <w:rFonts w:hint="eastAsia" w:ascii="仿宋" w:hAnsi="仿宋" w:eastAsia="仿宋" w:cs="仿宋"/>
          <w:b w:val="0"/>
          <w:bCs w:val="0"/>
          <w:color w:val="auto"/>
          <w:kern w:val="2"/>
          <w:sz w:val="32"/>
          <w:szCs w:val="32"/>
          <w:lang w:val="en-US" w:eastAsia="zh-CN" w:bidi="ar-SA"/>
        </w:rPr>
      </w:pPr>
      <w:r>
        <w:rPr>
          <w:rFonts w:hint="default" w:ascii="楷体" w:hAnsi="楷体" w:eastAsia="楷体" w:cs="楷体"/>
          <w:b w:val="0"/>
          <w:bCs w:val="0"/>
          <w:color w:val="auto"/>
          <w:kern w:val="2"/>
          <w:sz w:val="32"/>
          <w:szCs w:val="32"/>
          <w:highlight w:val="none"/>
          <w:u w:val="none"/>
          <w:lang w:val="en-US" w:eastAsia="zh-CN" w:bidi="ar-SA"/>
        </w:rPr>
        <w:t>（一）加强统筹领导</w:t>
      </w:r>
      <w:r>
        <w:rPr>
          <w:rFonts w:hint="eastAsia" w:ascii="楷体" w:hAnsi="楷体" w:eastAsia="楷体" w:cs="楷体"/>
          <w:b w:val="0"/>
          <w:bCs w:val="0"/>
          <w:color w:val="auto"/>
          <w:kern w:val="2"/>
          <w:sz w:val="32"/>
          <w:szCs w:val="32"/>
          <w:highlight w:val="none"/>
          <w:u w:val="none"/>
          <w:lang w:val="en-US" w:eastAsia="zh-CN" w:bidi="ar-SA"/>
        </w:rPr>
        <w:t>。</w:t>
      </w:r>
      <w:r>
        <w:rPr>
          <w:rFonts w:hint="eastAsia" w:ascii="仿宋" w:hAnsi="仿宋" w:eastAsia="仿宋" w:cs="仿宋"/>
          <w:b w:val="0"/>
          <w:bCs w:val="0"/>
          <w:color w:val="auto"/>
          <w:kern w:val="2"/>
          <w:sz w:val="32"/>
          <w:szCs w:val="32"/>
          <w:lang w:val="en-US" w:eastAsia="zh-CN" w:bidi="ar-SA"/>
        </w:rPr>
        <w:t>各级政府要充分发挥规划引领和考核指挥棒作用，严格落实属地管理责任，将职业病防治工作纳入本地区国民经济和社会发展相关规划及民生工程，将职业健康工作纳入深化医改和安全生产责任制考核体系，加大考核权重，健全完善考评指标和责任制度。充分发挥职业病防治工作联席会议机制作用，健全完善职业病防治议事协调机制，各成员单位要按照职责分工认真做好职业病防治相关工作，加强联防联控，形成防治监管合力。</w:t>
      </w:r>
    </w:p>
    <w:p>
      <w:pPr>
        <w:keepNext w:val="0"/>
        <w:keepLines w:val="0"/>
        <w:widowControl/>
        <w:suppressLineNumbers w:val="0"/>
        <w:ind w:firstLine="640" w:firstLineChars="200"/>
        <w:jc w:val="left"/>
        <w:rPr>
          <w:rFonts w:hint="eastAsia" w:ascii="仿宋" w:hAnsi="仿宋" w:eastAsia="仿宋" w:cs="仿宋"/>
          <w:b w:val="0"/>
          <w:bCs w:val="0"/>
          <w:color w:val="auto"/>
          <w:kern w:val="2"/>
          <w:sz w:val="32"/>
          <w:szCs w:val="32"/>
          <w:lang w:val="en-US" w:eastAsia="zh-CN" w:bidi="ar-SA"/>
        </w:rPr>
      </w:pPr>
      <w:r>
        <w:rPr>
          <w:rFonts w:hint="eastAsia" w:ascii="楷体" w:hAnsi="楷体" w:eastAsia="楷体" w:cs="楷体"/>
          <w:b w:val="0"/>
          <w:bCs w:val="0"/>
          <w:color w:val="auto"/>
          <w:kern w:val="2"/>
          <w:sz w:val="32"/>
          <w:szCs w:val="32"/>
          <w:highlight w:val="none"/>
          <w:u w:val="none"/>
          <w:lang w:val="en-US" w:eastAsia="zh-CN" w:bidi="ar-SA"/>
        </w:rPr>
        <w:t>（二）强化政策融合。</w:t>
      </w:r>
      <w:r>
        <w:rPr>
          <w:rFonts w:hint="eastAsia" w:ascii="仿宋" w:hAnsi="仿宋" w:eastAsia="仿宋" w:cs="仿宋"/>
          <w:b w:val="0"/>
          <w:bCs w:val="0"/>
          <w:color w:val="auto"/>
          <w:kern w:val="2"/>
          <w:sz w:val="32"/>
          <w:szCs w:val="32"/>
          <w:lang w:val="en-US" w:eastAsia="zh-CN" w:bidi="ar-SA"/>
        </w:rPr>
        <w:t>各级各部门要结合实际推动建立健全职业病防治地方性法规规章，把职业健康工作纳入深化医疗改革、公共卫生体系改革和基本公共卫生服务等重点工作，统一规划、统一部署、协同推进和实施。推动将职业健康工作融入成型的工作体制机制，高位统筹推进实施。综合运用金融、税收、社保等政策措施，通过项目核准、政策支持、资金保障和费率浮动等，调动用人单位做好职业健康工作的积极性。</w:t>
      </w:r>
    </w:p>
    <w:p>
      <w:pPr>
        <w:keepNext w:val="0"/>
        <w:keepLines w:val="0"/>
        <w:widowControl/>
        <w:suppressLineNumbers w:val="0"/>
        <w:ind w:firstLine="640" w:firstLineChars="200"/>
        <w:jc w:val="left"/>
        <w:rPr>
          <w:rFonts w:hint="eastAsia" w:ascii="仿宋" w:hAnsi="仿宋" w:eastAsia="仿宋" w:cs="仿宋"/>
          <w:b w:val="0"/>
          <w:bCs w:val="0"/>
          <w:color w:val="auto"/>
          <w:kern w:val="2"/>
          <w:sz w:val="32"/>
          <w:szCs w:val="32"/>
          <w:lang w:val="en-US" w:eastAsia="zh-CN" w:bidi="ar-SA"/>
        </w:rPr>
      </w:pPr>
      <w:r>
        <w:rPr>
          <w:rFonts w:hint="eastAsia" w:ascii="楷体" w:hAnsi="楷体" w:eastAsia="楷体" w:cs="楷体"/>
          <w:b w:val="0"/>
          <w:bCs w:val="0"/>
          <w:color w:val="auto"/>
          <w:kern w:val="2"/>
          <w:sz w:val="32"/>
          <w:szCs w:val="32"/>
          <w:highlight w:val="none"/>
          <w:u w:val="none"/>
          <w:lang w:val="en-US" w:eastAsia="zh-CN" w:bidi="ar-SA"/>
        </w:rPr>
        <w:t>（三）加强经费保障。</w:t>
      </w:r>
      <w:r>
        <w:rPr>
          <w:rFonts w:hint="eastAsia" w:ascii="仿宋" w:hAnsi="仿宋" w:eastAsia="仿宋" w:cs="仿宋"/>
          <w:b w:val="0"/>
          <w:bCs w:val="0"/>
          <w:color w:val="auto"/>
          <w:kern w:val="2"/>
          <w:sz w:val="32"/>
          <w:szCs w:val="32"/>
          <w:lang w:val="en-US" w:eastAsia="zh-CN" w:bidi="ar-SA"/>
        </w:rPr>
        <w:t>各级政府要建立稳定的职业健康事业投入机制，保障工作所需经费，加强绩效评价考核，提高资金使用效率，支持主要任务和重大工程按计划顺利完成。引导用人单位要根据防治工作实际，保障职业病危害治理、建设项目职业病防护设施“三同时”、职业病危害因素检测和评价、职业健康培训、职业健康监护、个人防护用品、应急救援等费用。</w:t>
      </w:r>
    </w:p>
    <w:p>
      <w:pPr>
        <w:keepNext w:val="0"/>
        <w:keepLines w:val="0"/>
        <w:widowControl/>
        <w:suppressLineNumbers w:val="0"/>
        <w:ind w:firstLine="640" w:firstLineChars="200"/>
        <w:jc w:val="left"/>
        <w:rPr>
          <w:rFonts w:hint="default" w:ascii="仿宋" w:hAnsi="仿宋" w:eastAsia="仿宋" w:cs="仿宋"/>
          <w:b w:val="0"/>
          <w:bCs w:val="0"/>
          <w:color w:val="auto"/>
          <w:kern w:val="2"/>
          <w:sz w:val="32"/>
          <w:szCs w:val="32"/>
          <w:lang w:val="en-US" w:eastAsia="zh-CN" w:bidi="ar-SA"/>
        </w:rPr>
      </w:pPr>
      <w:r>
        <w:rPr>
          <w:rFonts w:hint="eastAsia" w:ascii="楷体" w:hAnsi="楷体" w:eastAsia="楷体" w:cs="楷体"/>
          <w:b w:val="0"/>
          <w:bCs w:val="0"/>
          <w:color w:val="auto"/>
          <w:kern w:val="2"/>
          <w:sz w:val="32"/>
          <w:szCs w:val="32"/>
          <w:highlight w:val="none"/>
          <w:u w:val="none"/>
          <w:lang w:val="en-US" w:eastAsia="zh-CN" w:bidi="ar-SA"/>
        </w:rPr>
        <w:t>（四）加强监督评估。</w:t>
      </w:r>
      <w:r>
        <w:rPr>
          <w:rFonts w:hint="eastAsia" w:ascii="仿宋" w:hAnsi="仿宋" w:eastAsia="仿宋" w:cs="仿宋"/>
          <w:b w:val="0"/>
          <w:bCs w:val="0"/>
          <w:color w:val="auto"/>
          <w:kern w:val="2"/>
          <w:sz w:val="32"/>
          <w:szCs w:val="32"/>
          <w:lang w:val="en-US" w:eastAsia="zh-CN" w:bidi="ar-SA"/>
        </w:rPr>
        <w:t>市卫生健康局会同有关部门将适时组织开展规划实施的督导和评估工作，2023年12月上旬前组织规划实施的中期评估和职业健康风险评估，2025年底前组织规划实施的终期评估，评估结果报市政府。各地要结合实际明确本地区职业病防治的阶段性目标和工作分工，加大督导检查力度，确保规划目标任务按期完成。</w:t>
      </w: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318C86C"/>
    <w:multiLevelType w:val="singleLevel"/>
    <w:tmpl w:val="7318C86C"/>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VhMGU0ZGQ4MjZmZDU4MWNmYjQ3YzQ1YTljZTBiOWEifQ=="/>
  </w:docVars>
  <w:rsids>
    <w:rsidRoot w:val="60F73A59"/>
    <w:rsid w:val="59A05471"/>
    <w:rsid w:val="60F73A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imes New Roman"/>
      <w:snapToGrid w:val="0"/>
      <w:position w:val="-24"/>
      <w:sz w:val="32"/>
      <w:szCs w:val="24"/>
      <w:lang w:val="en-US" w:eastAsia="zh-CN" w:bidi="ar-SA"/>
    </w:rPr>
  </w:style>
  <w:style w:type="character" w:default="1" w:styleId="8">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pBdr>
        <w:top w:val="single" w:color="auto" w:sz="6" w:space="1"/>
        <w:bottom w:val="single" w:color="auto" w:sz="6" w:space="1"/>
      </w:pBdr>
    </w:pPr>
    <w:rPr>
      <w:rFonts w:ascii="仿宋_GB2312" w:eastAsia="仿宋_GB2312"/>
    </w:rPr>
  </w:style>
  <w:style w:type="paragraph" w:styleId="3">
    <w:name w:val="Title"/>
    <w:basedOn w:val="1"/>
    <w:next w:val="1"/>
    <w:qFormat/>
    <w:uiPriority w:val="0"/>
    <w:pPr>
      <w:spacing w:before="240" w:after="60"/>
      <w:jc w:val="center"/>
      <w:outlineLvl w:val="0"/>
    </w:pPr>
    <w:rPr>
      <w:rFonts w:ascii="Cambria" w:hAnsi="Cambria" w:eastAsia="宋体" w:cs="Times New Roman"/>
      <w:b/>
      <w:bCs/>
      <w:snapToGrid/>
      <w:kern w:val="2"/>
      <w:position w:val="0"/>
      <w:sz w:val="32"/>
      <w:szCs w:val="32"/>
      <w:lang w:bidi="ar-SA"/>
    </w:rPr>
  </w:style>
  <w:style w:type="paragraph" w:styleId="4">
    <w:name w:val="Body Text Indent 2"/>
    <w:basedOn w:val="1"/>
    <w:qFormat/>
    <w:uiPriority w:val="0"/>
    <w:pPr>
      <w:spacing w:line="360" w:lineRule="auto"/>
      <w:ind w:firstLine="648" w:firstLineChars="200"/>
    </w:pPr>
    <w:rPr>
      <w:rFonts w:ascii="仿宋_GB2312" w:eastAsia="仿宋_GB2312"/>
    </w:rPr>
  </w:style>
  <w:style w:type="paragraph" w:styleId="5">
    <w:name w:val="footer"/>
    <w:basedOn w:val="1"/>
    <w:qFormat/>
    <w:uiPriority w:val="0"/>
    <w:pPr>
      <w:tabs>
        <w:tab w:val="center" w:pos="4153"/>
        <w:tab w:val="right" w:pos="8306"/>
      </w:tabs>
      <w:snapToGrid w:val="0"/>
      <w:jc w:val="left"/>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B7E8BD"/>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河源市卫生健康局</Company>
  <Pages>12</Pages>
  <Words>6151</Words>
  <Characters>6198</Characters>
  <Lines>0</Lines>
  <Paragraphs>0</Paragraphs>
  <TotalTime>2</TotalTime>
  <ScaleCrop>false</ScaleCrop>
  <LinksUpToDate>false</LinksUpToDate>
  <CharactersWithSpaces>6217</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2022-08-02T01:59:00Z</dcterms:created>
  <dc:creator>miumiu</dc:creator>
  <cp:lastModifiedBy>AlbeeLee</cp:lastModifiedBy>
  <dcterms:modified xsi:type="dcterms:W3CDTF">2022-08-05T02:22:57Z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8AF46C8F367A4E838BB392A5C897DEBF</vt:lpwstr>
  </property>
</Properties>
</file>