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广东省河源市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中央财政油茶产业发展示范奖补项目实施方案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为深入贯彻习近平生态文明思想，落实国家粮油安全战略，加快推进我市油茶产业高质量发展，全力实施中央财政油茶产业发展示范奖补项目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以下简称“奖补项目”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围绕“扩面”“提产”，推动强链延链补链，合力提升河源市油茶全产业链发展水平，加快实现绿色崛起，打造全国油茶产业发展的示范样板和新高地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制定本实施方案。</w:t>
      </w:r>
    </w:p>
    <w:p>
      <w:pPr>
        <w:spacing w:before="62" w:beforeLines="20" w:after="62" w:afterLines="20" w:line="56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一、总体要求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总书记关于保障粮油安全的重要指示精神为指导，积极践行“绿水青山就是金山银山”的发展理念，贯彻落实党中央、国务院关于油茶发展的重大决策部署，落实《中共中央国务院关于做好2023年全面推进乡村振兴重点工作的意见》提出支持木本油料发展，实施加快油茶产业发展行动计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《中共广东省委关于深入推进绿美广东生态建设的决定》中提出发挥绿美广东生态建设综合效益，促进林业一二三产业融合发展，重点推动油茶优势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特色产业发展。充分发挥河源市林地资源和特色产业优势，加快推进河源油茶产业高质量发展，将油茶产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业打造成河源市绿水青山向金山银山转换的示范产业。</w:t>
      </w:r>
    </w:p>
    <w:p>
      <w:pPr>
        <w:spacing w:before="62" w:beforeLines="20" w:after="62" w:afterLines="20" w:line="56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二、基本原则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坚持市场主导、政府扶持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充分发挥政府扶持作用，搭建对接平台，建立健全信息共享机制。完善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扶持政策措施，形成多层次、多形式、全方位推动油茶产业发展的强大合力。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坚持高标准种植，全产业链发展。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推广良种良法，因地制宜、适地适种，建设一批油茶高产、高效示范种植基地（园）。扶持一批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规模油茶企业（合作社）。构建产业利益联结机制，延伸加工产业链，提升茶油产品附加值，推动油茶全产业链发展。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坚持标准化管理、高质量发展。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建立油茶全产业标准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，强化检测检验技术支撑和市场监管，建立健全油茶产品质量认证制度体系，引导油茶产业标准化生产。鼓励品牌整合，设立品牌认证，打造“河源山茶油”名片，全面提升河源茶油质量和品牌效应，坚持以销促产、以产带种的良性发展模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坚持绩效管理、注重实效。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项目预算编制和绩效管理一体化，将绩效理念和方法深度融入项目实施全过程。林业主管部门要加强项目实施全过程的技术指导和监督考核。按照问题与目标导向，加强过程管理，确保质量目标、产出目标和效益目标。</w:t>
      </w:r>
    </w:p>
    <w:p>
      <w:pPr>
        <w:spacing w:before="62" w:beforeLines="20" w:after="62" w:afterLines="20" w:line="56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三、工作任务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严格落实《财政部办公厅 国家林草局办公室关于实施中央财政油茶产业发展奖补政策的通知》（财办资环〔2023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号）文件要求，按照“做实做稳一产、做大做强二产、做精做旺三产”的发展思路，实现项目新造油茶林盛产期亩产茶油40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公斤以上，低产林改造盛产期亩均茶油产量达到30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公斤以上，管护抚育盛产期亩均茶油产量达到25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公斤以上，平均亩产茶油高于全国平均水平30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全方位布局油茶育种、种植、栽培、加工、收储、综合利用、科技创新、技术服务、品牌建设、市场营销等各个环节，合力提升项目区域全产业链发展水平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构建“3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”的全域油茶发展新格局。重点实施六大工程：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良种壮苗培育基地工程：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加快油茶良种选育成果转化速度，提高优质种苗生产供给能力和良种推广水平，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良种壮苗培育基地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（共0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万亩）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油茶营造工程：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完成新造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油茶林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万亩、低产林改造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现有油茶林管护抚育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万亩。对新造油茶林、低产林改造全部配备水肥一体化设施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万亩）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生产加工水平提升工程：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生产加工能力提升项目3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个，油茶加工链条延伸项目3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个，油茶加工配套项目3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个，精深加工产品更加丰富。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科技创新驱动工程：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实施产学研技术创新体系项目3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个；实施智慧油茶产业平台建设项目1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促进林业科技集成创新，提高产业的科技创新水平，打造高品质河源油茶绿色产业发展高地。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油茶品牌建设工程：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培育区域公用品牌项目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，培育茶油国内、省内知名品牌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。以打造“河源山茶油”公用品牌为着力点，建立“河源山茶油”油茶品牌打包推介机制。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一二三产融合发展工程：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实施区域文旅产业发展项目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充分利用河源油茶资源和民俗文化，依托油茶种植产业及油茶产业衍生产品，积极发展油茶综合种养、生态休闲、自然教育、旅游度假和健康养生产业链。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生产加工水平提升工程、科技创新驱动工程、油茶品牌建设工程、一二三产融合发展工程按照广东油茶跨县集群产业园（河源市）资金使用方案实施。</w:t>
      </w:r>
    </w:p>
    <w:p>
      <w:pPr>
        <w:spacing w:before="62" w:beforeLines="20" w:after="62" w:afterLines="20"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保障措施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（一）组织保障。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市委市政府成立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奖补项目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市级领导小组，领导小组在市林业局设立办公室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将奖补项目作为未来5年全市油茶产业高质量发展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的重要内容和有效抓手。各相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关县（区）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作为项目建设主体，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级领导小组，负责统筹领导和推进本地区油茶产业发展示范奖补工作。市级领导小组加强组织领导，明确职责分工，强化监督考核，将项目完成情况纳入“林长制”考核管理，建立切实可行的推进落实机制。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资金保障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坚持“资金跟着项目走”的原则，以中央财政补助资金为基础，统筹涉农资金向奖补项目予以倾斜支持。将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项目建设配套资金足额纳入政府财政预算，项目资金要突出重点，注重效益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。制定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《河源市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中央财政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油茶产业发展示范奖补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资金管理办法》，加强对资金使用过程中各环节的监控，严禁截留、挪用，强化财务审计和监督制度，强化绩效评估，确保专项资金使用的有效性、规范性和安全性。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用地保障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目用地经过与国土“三调”数据进行认真比对、分析研判，项目地块符合国土空间规划布局、自然保护地、生态保护红线、永久基本农田保护红线等管控要求。同时，坚持深化油茶产业发展土地保障，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村级经济集体统一收储、国有企业集中流转、油茶企业承包经营”的林地流转模式。通过完善“工作指导+配套设施”保障、创新“土地入股+保底分红”模式、搭建“国企+私企+农户”平台，提升林地流转速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技术保障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科技创新，推进科技兴油，发挥油茶品种优化、油茶种植抚育、油茶精深加工等方面专家的引领作用。成立项目专家顾问团队，在项目的油茶良种选择、油茶种植和抚育模式优化、茶油萃取质量提升等方面提供技术支撑和指导。主推国家或省级审（认）定的稳产高产油茶良种，大力推广水肥一体化技术，采用良种良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，着力提升亩均茶油产量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促进林业一二三产业融合发展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在施工过程中，</w:t>
      </w:r>
      <w:r>
        <w:rPr>
          <w:rFonts w:hint="default" w:ascii="仿宋_GB2312" w:hAnsi="仿宋_GB2312" w:eastAsia="仿宋_GB2312" w:cs="仿宋_GB2312"/>
          <w:sz w:val="32"/>
          <w:szCs w:val="32"/>
        </w:rPr>
        <w:t>采取合理的开发模式和施工方法，减少地表扰动和植被损坏，及时采取水土保持措施，对造成的水土流失及时进行治理。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管理保障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设要求，认真落实项目法人责任制、招标投标制、建设监理制和合同管理制；建立财政、林业、审计等联合监管机制，确保财政资金专款专用；开展建设成效监测，每年组织项目核查，落实绩效评价，对偏离绩效目标的，采取措施，及时纠正，对随意改变资金使用用途的，收回资金，并追究有关单位、人员责任。将项目实施情况纳入林长制考核、综合考核，对在项目中作出突出贡献的单位和个人，给予表彰奖励，对责任不落实、工作推进不力的进行问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监督保障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项目建立市、县联动监督机制和第三方监理，建立健全项目考核评估指标体系，每年底组织一次考核评估，跟踪分析项目实施情况。将项目筹备、施工建设、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水土保持、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验收评估、后续管护、资金使用等各项工作全部纳入项目监督范畴，建立健全通报、检查、监督、评价等有效机制，加强全过程监控和项目验收管理。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中央财政油茶产业发展示范奖补项目任务表</w:t>
      </w:r>
    </w:p>
    <w:p>
      <w:pPr>
        <w:ind w:left="1916" w:leftChars="76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2.河源市中央财政油茶产业发展示范奖补项目建设标准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sz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-426720</wp:posOffset>
                </wp:positionV>
                <wp:extent cx="808990" cy="1828800"/>
                <wp:effectExtent l="0" t="0" r="1397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_GB2312" w:hAnsi="仿宋_GB2312" w:eastAsia="仿宋_GB2312" w:cs="仿宋_GB2312"/>
                                <w:sz w:val="29"/>
                                <w:szCs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9"/>
                                <w:szCs w:val="29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55pt;margin-top:-33.6pt;height:144pt;width:63.7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89+M2gAAAAsBAAAPAAAAAAAAAAEAIAAAACIAAABkcnMvZG93bnJl&#10;di54bWxQSwECFAAUAAAACACHTuJAya9HoTQCAABBBAAADgAAAAAAAAABACAAAAAp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仿宋_GB2312" w:hAnsi="仿宋_GB2312" w:eastAsia="仿宋_GB2312" w:cs="仿宋_GB2312"/>
                          <w:sz w:val="29"/>
                          <w:szCs w:val="29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9"/>
                          <w:szCs w:val="29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en-US"/>
        </w:rPr>
        <w:t>河源市中央财政油茶产业发展示范奖补项目任务表</w:t>
      </w:r>
    </w:p>
    <w:tbl>
      <w:tblPr>
        <w:tblStyle w:val="7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47"/>
        <w:gridCol w:w="1916"/>
        <w:gridCol w:w="1498"/>
        <w:gridCol w:w="1498"/>
        <w:gridCol w:w="1498"/>
        <w:gridCol w:w="1498"/>
        <w:gridCol w:w="1499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373" w:type="pct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pct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新丰江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油茶新造林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低产林改造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管护抚育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良种苗圃基地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240000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-6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-579120</wp:posOffset>
                </wp:positionV>
                <wp:extent cx="808990" cy="1828800"/>
                <wp:effectExtent l="0" t="0" r="1397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_GB2312" w:hAnsi="仿宋_GB2312" w:eastAsia="仿宋_GB2312" w:cs="仿宋_GB2312"/>
                                <w:sz w:val="29"/>
                                <w:szCs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9"/>
                                <w:szCs w:val="29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9pt;margin-top:-45.6pt;height:144pt;width:63.7pt;mso-wrap-distance-bottom:0pt;mso-wrap-distance-left:9pt;mso-wrap-distance-right:9pt;mso-wrap-distance-top:0pt;z-index:251661312;mso-width-relative:page;mso-height-relative:page;" fillcolor="#FFFFFF [3201]" filled="t" stroked="f" coordsize="21600,21600" o:gfxdata="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zMzSHZAAAACgEAAA8AAAAAAAAAAQAgAAAAIgAAAGRycy9kb3ducmV2&#10;LnhtbFBLAQIUABQAAAAIAIdO4kAZYXJiNAIAAEEEAAAOAAAAAAAAAAEAIAAAACg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仿宋_GB2312" w:hAnsi="仿宋_GB2312" w:eastAsia="仿宋_GB2312" w:cs="仿宋_GB2312"/>
                          <w:sz w:val="29"/>
                          <w:szCs w:val="29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9"/>
                          <w:szCs w:val="29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-6"/>
          <w:kern w:val="2"/>
          <w:sz w:val="44"/>
          <w:szCs w:val="44"/>
          <w:lang w:val="en-US" w:eastAsia="zh-CN"/>
        </w:rPr>
        <w:t>河源市中央财政油茶产业发展示范奖补项目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-6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-6"/>
          <w:kern w:val="2"/>
          <w:sz w:val="44"/>
          <w:szCs w:val="44"/>
          <w:lang w:val="en-US" w:eastAsia="zh-CN"/>
        </w:rPr>
        <w:t>建设标准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/>
        </w:rPr>
        <w:t>一、油茶良种壮苗培育基地建设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1.油茶良种采穗圃建设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新建采穗圃建设需符合《油茶》（LY/T 3355-2023）相关要求；新建采穗圃全面配备喷灌式水肥一体化；设计采穗圃年亩产穗条1.5万支以上；圃地内主干道密度达3米/亩以上，作业便道6米/亩以上，其中主干道需硬化。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2.油茶良种育苗基地建设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建设育苗大棚3亩以上，圃地水肥一体化喷灌设施全覆盖；圃地每亩出苗4万株以上，其中一级苗3万株以上；苗圃基地建设亩均投资不低于15000元（含间接费用和基本预备费）。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3.技术保障要求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需具有市级以上技术支撑单位，2个以上高级职称支撑专家。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二、新造油茶林</w:t>
      </w:r>
    </w:p>
    <w:bookmarkEnd w:id="0"/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1.选用2年生以上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国家或省级审（认）定的稳产高产油茶良种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优质容器壮苗，苗高≥50厘米，地径≥0.5厘米，生长健壮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，苗木必须具有“两证一签”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2.栽植密度74株/亩。有条件地块应尽量采用宽窄行设计。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坡度小于10°的缓坡地采用全垦整地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10°～25°斜坡地采用环山水平带状整地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在坡度较陡、土壤结构松散的造林地宜采用穴垦整地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，建设高标准油茶林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整地时应采取必要的生物或工程水土保持技术措施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4.造林当年抚育1次，其后4年内每年抚育1次以上（其中锄草、扩穴培蔸、追肥、覆土）。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5.配备水肥一体设施，实现水肥灌溉全覆盖。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6.油茶林生产道路宽2.5米，作业便道宽1.5米。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7.造林成活率达90%以上，死株或缺株应补株，5年保存率达到90%以上。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8.林木良种使用率100%。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（林木良种为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国家或省级审（认）定的稳产高产油茶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良种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）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9.新造油茶林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亩均投资不低于5000元（含间接费用和基本预备费）。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三、低产林改造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在低产油茶林内，按照一定的宽度交替设置清除带和保留带，清除带清山整地后以良种壮苗进行第一次更新造林，待更新株进入初产期后，再将保留带以同样方法进行第二次更新造林，从而达到分期分批轮替更新改造的目的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更新带指清除带（一次更新带）和保留带（二次更新带），是带状更新的最小作业单元。单次更新面积不超过更新带总面积的2/3。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更新行数：清除带和保留带内计划栽植的行数，以双行更新为宜，一般不采用单行或多行。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作业模式选用宽行式：清除带宽6米，种植2行；保留带宽6米，保留老油茶树2行，改造完成后每亩最终保留油茶株数74株。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有条件地块应尽量采用宽窄行设计。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提前3个月以上带状深翻整地，深度30厘米以上，就地收集枯枝落叶、改造剩余物、腐殖土等填埋。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提前2个月以上定点挖穴，穴规格60厘米×60厘米×60厘米，3年生以上壮苗应相应加大。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提前1—2个月定植穴内施足基肥（有机肥、腐熟土杂肥及磷肥）。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12月至翌年的2月选用2年生以上良种壮苗定植。连片改造规模较大的，可提前1年以上就近营建临时苗圃。</w:t>
      </w:r>
    </w:p>
    <w:p>
      <w:pPr>
        <w:widowControl/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定植后1—3年内要加强抚育管理，清除遮蔽幼树光照的保留带树枝，促进快速形成树冠。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配备水肥一体设施，实现水肥灌溉全覆盖。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更新部分成活率达90%以上，死株或缺株应补株，5年保存率达到95%。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良种苗木使用率100%。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（林木良种为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国家或省级审（认）定的稳产高产油茶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良种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）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油茶低产林改造亩均投资不低于3000元（含间接费用和基本预备费）。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四、现有油茶林管护抚育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1.全面刈除油茶林内灌草，伐蔸不高于10厘米。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2.每年至少带状垦复1次，垦复深度10～20厘米。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施肥应油茶专用有机肥为主，适当补充复合肥。冬季采果后，应施油茶专用有机肥为主，每株施有机肥3公斤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；春季抽梢发叶前施速效复合肥，每株施0.2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公斤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4.基地内整形修剪株数占油茶林保留株数80%以上，修剪后植株间枝叶不重叠。</w:t>
      </w:r>
    </w:p>
    <w:p>
      <w:pPr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现有油茶林管护抚育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亩均投资不低于1500元（含间接费用和基本预备费）。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五、示范样板基地建设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（一）示范样板类型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新造油茶林示范样板、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低产林改造示范样板和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现有油茶林管护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抚育三种示范样板类型。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（二）示范内容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重点示范内容：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油茶+水肥药一体化示范、油茶+林下种养示范、油茶+生态化改造示范、油茶+花果管理示范、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油茶+机械化生产示范五种。示范样板基地应选择至少一种以上内容进行示范。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（三）建设要求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1.选择交通便捷、集中连片、栽植条件好的地块，建设面积1000亩以上。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2.示范样板内生产道路不少于2千米，作业便道不少于4千米，其中生产道路路面采用砂石铺设，路面排水通畅。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3.造林成活率达95%，死株或缺株应补株，保存率达到95%。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4.林木良种使用率100%。（林木良种为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国家或省级审（认）定的稳产高产油茶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良种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）</w:t>
      </w:r>
    </w:p>
    <w:p>
      <w:pPr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各类型示范样板按不低于相应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新造油茶林、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低产林改造和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现有油茶林管护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抚育投资标准要求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（四）示范效果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新造油茶林示范样板。产量目标为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产后亩产油50公斤以上。</w:t>
      </w:r>
    </w:p>
    <w:p>
      <w:pPr>
        <w:spacing w:line="56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低产林改造示范样板。产量目标为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产后亩产油40公斤以上。</w:t>
      </w:r>
    </w:p>
    <w:p>
      <w:pPr>
        <w:widowControl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现有油茶林管护抚育示范样板。产量目标为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产后亩产油30公斤以上。</w:t>
      </w:r>
    </w:p>
    <w:p>
      <w:pPr>
        <w:widowControl w:val="0"/>
        <w:kinsoku/>
        <w:autoSpaceDE/>
        <w:autoSpaceDN/>
        <w:adjustRightInd/>
        <w:snapToGrid/>
        <w:spacing w:before="62" w:beforeLines="20" w:after="62" w:afterLines="2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六、水肥一体化设施建设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水源和供水动力保障，配备首部系统、灌水系统、施肥系统、管网系统、控制阀门系统，水肥管道采用全国十大品牌的PE管材，管网分布合理到位，确保为每一棵油茶树提供水分和营养；项目建设期内水肥管网设施能保证正常使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水肥一体化设施建设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亩均投资标准不低于2000元（含间接费用和基本预备费）。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3291"/>
    <w:multiLevelType w:val="singleLevel"/>
    <w:tmpl w:val="14DB329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ZTEyNTA5ODlkYWY3YmIzYTQ3YzMxNTUxNzRlNTAifQ=="/>
    <w:docVar w:name="KSO_WPS_MARK_KEY" w:val="d9dd0838-0b67-4b98-a4c0-8825b07e72fd"/>
  </w:docVars>
  <w:rsids>
    <w:rsidRoot w:val="794031F1"/>
    <w:rsid w:val="027B6372"/>
    <w:rsid w:val="04BC2297"/>
    <w:rsid w:val="0DDD2D00"/>
    <w:rsid w:val="0F210548"/>
    <w:rsid w:val="0FC87DE8"/>
    <w:rsid w:val="10566F42"/>
    <w:rsid w:val="179A4483"/>
    <w:rsid w:val="1A821818"/>
    <w:rsid w:val="1BB944F3"/>
    <w:rsid w:val="1CCF32A9"/>
    <w:rsid w:val="202B6547"/>
    <w:rsid w:val="21A10AF6"/>
    <w:rsid w:val="21B4087F"/>
    <w:rsid w:val="23970CCE"/>
    <w:rsid w:val="27AC3DDE"/>
    <w:rsid w:val="280672E5"/>
    <w:rsid w:val="2B934212"/>
    <w:rsid w:val="2CD42154"/>
    <w:rsid w:val="30492B1F"/>
    <w:rsid w:val="31454F1C"/>
    <w:rsid w:val="325D1A2B"/>
    <w:rsid w:val="34616854"/>
    <w:rsid w:val="38693AF2"/>
    <w:rsid w:val="386F66CC"/>
    <w:rsid w:val="3A55342C"/>
    <w:rsid w:val="3AA24AC1"/>
    <w:rsid w:val="3BC62A80"/>
    <w:rsid w:val="40420B44"/>
    <w:rsid w:val="40D87AC5"/>
    <w:rsid w:val="40E736F0"/>
    <w:rsid w:val="41590C35"/>
    <w:rsid w:val="43D32C34"/>
    <w:rsid w:val="471C20EE"/>
    <w:rsid w:val="49725FF6"/>
    <w:rsid w:val="4D6F3AD4"/>
    <w:rsid w:val="4E3243BD"/>
    <w:rsid w:val="50FC1E5B"/>
    <w:rsid w:val="51462390"/>
    <w:rsid w:val="57D232A8"/>
    <w:rsid w:val="60A0154D"/>
    <w:rsid w:val="64F87A05"/>
    <w:rsid w:val="6A0321E7"/>
    <w:rsid w:val="6AD90725"/>
    <w:rsid w:val="6FB600F6"/>
    <w:rsid w:val="725F3C53"/>
    <w:rsid w:val="72AA3C48"/>
    <w:rsid w:val="75EC05D8"/>
    <w:rsid w:val="77974766"/>
    <w:rsid w:val="794031F1"/>
    <w:rsid w:val="797C23F5"/>
    <w:rsid w:val="7CF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</w:pPr>
    <w:rPr>
      <w:rFonts w:ascii="宋体" w:hAnsi="宋体" w:cs="宋体"/>
      <w:sz w:val="28"/>
      <w:szCs w:val="28"/>
      <w:lang w:eastAsia="zh-CN" w:bidi="ar-SA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 #2|1"/>
    <w:basedOn w:val="1"/>
    <w:qFormat/>
    <w:uiPriority w:val="0"/>
    <w:pPr>
      <w:spacing w:after="620" w:line="650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after="60" w:line="328" w:lineRule="auto"/>
      <w:ind w:firstLine="400"/>
    </w:pPr>
    <w:rPr>
      <w:rFonts w:ascii="宋体" w:hAnsi="宋体" w:eastAsia="宋体" w:cs="宋体"/>
      <w:sz w:val="20"/>
      <w:szCs w:val="20"/>
      <w:lang w:eastAsia="zh-CN" w:bidi="ar-SA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2024-01-12T00:37:00Z</dcterms:created>
  <dc:creator>珞安宁♠。</dc:creator>
  <cp:lastModifiedBy>吴小芬</cp:lastModifiedBy>
  <cp:lastPrinted>2024-01-23T02:10:00Z</cp:lastPrinted>
  <dcterms:modified xsi:type="dcterms:W3CDTF">2024-03-05T07:32:21Z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0BCDB1BDED52407D8CC2E546D03E0175_13</vt:lpwstr>
  </property>
</Properties>
</file>