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spacing w:line="600" w:lineRule="exact"/>
        <w:rPr>
          <w:color w:val="000000"/>
          <w:lang w:val="en-US" w:eastAsia="zh-CN"/>
          <w:rFonts w:ascii="宋体" w:hAnsi="宋体"/>
        </w:rPr>
      </w:pPr>
      <w:r>
        <w:rPr>
          <w:color w:val="000000"/>
          <w:lang w:val="en-US" w:eastAsia="zh-CN"/>
          <w:rFonts w:ascii="宋体" w:hAnsi="宋体"/>
        </w:rPr>
      </w:r>
    </w:p>
    <w:p>
      <w:pPr>
        <w:pStyle w:val="Normal"/>
        <w:jc w:val="center"/>
        <w:spacing w:line="600" w:lineRule="exact"/>
        <w:rPr>
          <w:sz w:val="44"/>
          <w:szCs w:val="44"/>
          <w:rFonts w:ascii="方正小标宋_GBK" w:hAnsi="方正小标宋_GBK" w:eastAsia="方正小标宋_GBK" w:hint="eastAsia"/>
        </w:rPr>
      </w:pPr>
      <w:r>
        <w:rPr>
          <w:sz w:val="44"/>
          <w:szCs w:val="44"/>
          <w:rFonts w:ascii="方正小标宋_GBK" w:hAnsi="方正小标宋_GBK" w:eastAsia="方正小标宋_GBK" w:hint="eastAsia"/>
        </w:rPr>
        <w:t xml:space="preserve">深入推进绿美河源生态建设</w:t>
      </w:r>
      <w:r>
        <w:rPr>
          <w:sz w:val="44"/>
          <w:lang w:eastAsia="zh-CN"/>
          <w:szCs w:val="44"/>
          <w:rFonts w:ascii="方正小标宋_GBK" w:hAnsi="方正小标宋_GBK" w:eastAsia="方正小标宋_GBK" w:hint="eastAsia"/>
        </w:rPr>
        <w:t xml:space="preserve">十六条</w:t>
      </w:r>
      <w:r>
        <w:rPr>
          <w:sz w:val="44"/>
          <w:szCs w:val="44"/>
          <w:rFonts w:ascii="方正小标宋_GBK" w:hAnsi="方正小标宋_GBK" w:eastAsia="方正小标宋_GBK" w:hint="eastAsia"/>
        </w:rPr>
        <w:t xml:space="preserve">政策措施</w:t>
      </w:r>
      <w:r>
        <w:rPr>
          <w:sz w:val="44"/>
          <w:szCs w:val="44"/>
          <w:rFonts w:ascii="方正小标宋_GBK" w:hAnsi="方正小标宋_GBK" w:eastAsia="方正小标宋_GBK" w:hint="eastAsia"/>
        </w:rPr>
      </w:r>
    </w:p>
    <w:p>
      <w:pPr>
        <w:pStyle w:val="Normal"/>
        <w:jc w:val="center"/>
        <w:spacing w:line="600" w:lineRule="exact"/>
        <w:rPr>
          <w:sz w:val="44"/>
          <w:lang w:eastAsia="zh-CN"/>
          <w:szCs w:val="44"/>
          <w:rFonts w:ascii="方正小标宋_GBK" w:hAnsi="方正小标宋_GBK" w:eastAsia="方正小标宋_GBK" w:hint="eastAsia"/>
        </w:rPr>
      </w:pPr>
      <w:r>
        <w:rPr>
          <w:sz w:val="44"/>
          <w:lang w:eastAsia="zh-CN"/>
          <w:szCs w:val="44"/>
          <w:rFonts w:ascii="方正小标宋_GBK" w:hAnsi="方正小标宋_GBK" w:eastAsia="方正小标宋_GBK" w:hint="eastAsia"/>
        </w:rPr>
        <w:t xml:space="preserve">（</w:t>
      </w:r>
      <w:r>
        <w:rPr>
          <w:sz w:val="44"/>
          <w:lang w:val="en-US" w:eastAsia="zh-CN"/>
          <w:szCs w:val="44"/>
          <w:rFonts w:ascii="方正小标宋_GBK" w:hAnsi="方正小标宋_GBK" w:eastAsia="方正小标宋_GBK" w:hint="eastAsia"/>
        </w:rPr>
        <w:t xml:space="preserve">征求意见稿</w:t>
      </w:r>
      <w:r>
        <w:rPr>
          <w:sz w:val="44"/>
          <w:lang w:eastAsia="zh-CN"/>
          <w:szCs w:val="44"/>
          <w:rFonts w:ascii="方正小标宋_GBK" w:hAnsi="方正小标宋_GBK" w:eastAsia="方正小标宋_GBK" w:hint="eastAsia"/>
        </w:rPr>
        <w:t xml:space="preserve">）</w:t>
      </w:r>
      <w:r>
        <w:rPr>
          <w:sz w:val="44"/>
          <w:lang w:eastAsia="zh-CN"/>
          <w:szCs w:val="44"/>
          <w:rFonts w:ascii="方正小标宋_GBK" w:hAnsi="方正小标宋_GBK" w:eastAsia="方正小标宋_GBK" w:hint="eastAsia"/>
        </w:rPr>
      </w:r>
    </w:p>
    <w:p>
      <w:pPr>
        <w:pStyle w:val="UserStyle_1"/>
        <w:wordWrap w:val="1"/>
        <w:ind w:firstLine="0" w:firstLineChars="0" w:left="0" w:leftChars="0"/>
        <w:rPr>
          <w:rFonts w:ascii="仿宋_GB2312" w:hint="eastAsia"/>
        </w:rPr>
      </w:pPr>
      <w:r>
        <w:rPr>
          <w:rFonts w:ascii="仿宋_GB2312" w:hint="eastAsia"/>
        </w:rPr>
      </w:r>
    </w:p>
    <w:p>
      <w:pPr>
        <w:pStyle w:val="Normal"/>
        <w:spacing w:line="600" w:lineRule="exact"/>
        <w:ind w:firstLine="632" w:firstLineChars="200"/>
        <w:rPr>
          <w:color w:val="000000"/>
          <w:sz w:val="32"/>
          <w:lang w:val="en-US" w:eastAsia="zh-CN"/>
          <w:szCs w:val="32"/>
          <w:rFonts w:ascii="宋体" w:hAnsi="宋体" w:eastAsia="仿宋_GB2312" w:hint="eastAsia"/>
        </w:rPr>
      </w:pPr>
      <w:r>
        <w:rPr>
          <w:color w:val="000000"/>
          <w:sz w:val="32"/>
          <w:lang w:val="en-US" w:eastAsia="zh-CN"/>
          <w:szCs w:val="32"/>
          <w:rFonts w:ascii="宋体" w:hAnsi="宋体" w:eastAsia="仿宋_GB2312" w:hint="eastAsia"/>
        </w:rPr>
        <w:t xml:space="preserve">为深入贯彻落实习近平生态文明思想和习近平总书记视察广东重要讲话重要指示批示精神，认真落实省委实施“百县千镇万村高质量发展工程”和“绿美广东生态建设”的决策部署，根据中共河源市委《关于贯彻&lt;中共广东省委关于深入推进绿美广东生态建设的决定&gt;的实施意见》（河委发〔2023〕3号）精神，坚持“绿了就美了”的要求，进一步激发林业发展活力，深入推进绿美河源生态建设，打造绿美广东生态建设的“河源样板”，结合我市实际，现提出以下措施：</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bCs w:val="0"/>
          <w:rFonts w:ascii="宋体" w:hAnsi="宋体" w:eastAsia="黑体" w:hint="eastAsia"/>
        </w:rPr>
      </w:pPr>
      <w:r>
        <w:rPr>
          <w:b w:val="0"/>
          <w:sz w:val="32"/>
          <w:bCs w:val="0"/>
          <w:rFonts w:ascii="宋体" w:hAnsi="宋体" w:eastAsia="黑体" w:hint="eastAsia"/>
        </w:rPr>
        <w:t xml:space="preserve">一、</w:t>
      </w:r>
      <w:r>
        <w:rPr>
          <w:b w:val="0"/>
          <w:sz w:val="32"/>
          <w:lang w:eastAsia="zh-CN"/>
          <w:bCs w:val="0"/>
          <w:rFonts w:ascii="宋体" w:hAnsi="宋体" w:eastAsia="黑体" w:hint="eastAsia"/>
        </w:rPr>
        <w:t xml:space="preserve">推动</w:t>
      </w:r>
      <w:r>
        <w:rPr>
          <w:b w:val="0"/>
          <w:sz w:val="32"/>
          <w:bCs w:val="0"/>
          <w:rFonts w:ascii="宋体" w:hAnsi="宋体" w:eastAsia="黑体" w:hint="eastAsia"/>
        </w:rPr>
        <w:t xml:space="preserve">林</w:t>
      </w:r>
      <w:r>
        <w:rPr>
          <w:b w:val="0"/>
          <w:sz w:val="32"/>
          <w:lang w:eastAsia="zh-CN"/>
          <w:bCs w:val="0"/>
          <w:rFonts w:ascii="宋体" w:hAnsi="宋体" w:eastAsia="黑体" w:hint="eastAsia"/>
        </w:rPr>
        <w:t xml:space="preserve">业</w:t>
      </w:r>
      <w:r>
        <w:rPr>
          <w:b w:val="0"/>
          <w:sz w:val="32"/>
          <w:bCs w:val="0"/>
          <w:rFonts w:ascii="宋体" w:hAnsi="宋体" w:eastAsia="黑体" w:hint="eastAsia"/>
        </w:rPr>
        <w:t xml:space="preserve">改革</w:t>
      </w:r>
      <w:r>
        <w:rPr>
          <w:b w:val="0"/>
          <w:sz w:val="32"/>
          <w:bCs w:val="0"/>
          <w:rFonts w:ascii="宋体" w:hAnsi="宋体" w:eastAsia="黑体" w:hint="eastAsia"/>
        </w:rPr>
      </w:r>
    </w:p>
    <w:p>
      <w:pPr>
        <w:pStyle w:val="Normal"/>
        <w:spacing w:line="600" w:lineRule="exact"/>
        <w:ind w:firstLine="632" w:firstLineChars="200"/>
        <w:rPr>
          <w:color w:val="000000"/>
          <w:sz w:val="32"/>
          <w:lang w:val="en-US" w:eastAsia="zh-CN"/>
          <w:szCs w:val="32"/>
          <w:rFonts w:ascii="宋体" w:hAnsi="宋体" w:eastAsia="仿宋_GB2312" w:hint="eastAsia"/>
        </w:rPr>
      </w:pPr>
      <w:r>
        <w:rPr>
          <w:color w:val="000000"/>
          <w:sz w:val="32"/>
          <w:lang w:val="en-US" w:eastAsia="zh-CN"/>
          <w:szCs w:val="32"/>
          <w:rFonts w:ascii="宋体" w:hAnsi="宋体" w:eastAsia="仿宋_GB2312" w:hint="eastAsia"/>
        </w:rPr>
        <w:t xml:space="preserve">发挥集体林权制度改革的重要作用，强化各项支持措施。</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lang w:eastAsia="zh-CN"/>
          <w:bCs w:val="0"/>
          <w:rFonts w:ascii="宋体" w:hAnsi="宋体" w:eastAsia="楷体_GB2312" w:hint="eastAsia"/>
        </w:rPr>
      </w:pPr>
      <w:r>
        <w:rPr>
          <w:b w:val="0"/>
          <w:sz w:val="32"/>
          <w:lang w:eastAsia="zh-CN"/>
          <w:bCs w:val="0"/>
          <w:rFonts w:ascii="宋体" w:hAnsi="宋体" w:eastAsia="楷体_GB2312" w:hint="eastAsia"/>
        </w:rPr>
        <w:t xml:space="preserve">（</w:t>
      </w:r>
      <w:r>
        <w:rPr>
          <w:b w:val="0"/>
          <w:sz w:val="32"/>
          <w:lang w:val="en-US" w:eastAsia="zh-CN"/>
          <w:bCs w:val="0"/>
          <w:rFonts w:ascii="宋体" w:hAnsi="宋体" w:eastAsia="楷体_GB2312" w:hint="eastAsia"/>
        </w:rPr>
        <w:t xml:space="preserve">一</w:t>
      </w:r>
      <w:r>
        <w:rPr>
          <w:b w:val="0"/>
          <w:sz w:val="32"/>
          <w:lang w:eastAsia="zh-CN"/>
          <w:bCs w:val="0"/>
          <w:rFonts w:ascii="宋体" w:hAnsi="宋体" w:eastAsia="楷体_GB2312" w:hint="eastAsia"/>
        </w:rPr>
        <w:t xml:space="preserve">）</w:t>
      </w:r>
      <w:r>
        <w:rPr>
          <w:b w:val="0"/>
          <w:sz w:val="32"/>
          <w:bCs w:val="0"/>
          <w:rFonts w:ascii="宋体" w:hAnsi="宋体" w:eastAsia="楷体_GB2312" w:hint="eastAsia"/>
        </w:rPr>
        <w:t xml:space="preserve">完善林权流转机制。</w:t>
      </w:r>
      <w:r>
        <w:rPr>
          <w:color w:val="000000"/>
          <w:sz w:val="32"/>
          <w:lang w:val="en-US" w:eastAsia="zh-CN"/>
          <w:szCs w:val="32"/>
          <w:rFonts w:ascii="宋体" w:hAnsi="宋体" w:eastAsia="仿宋_GB2312" w:hint="eastAsia"/>
        </w:rPr>
        <w:t xml:space="preserve">稳定现有林地承包关系，推进放活集体林地经营权、优化林地经营权流转和林权登记制度，流转期限5年以上的林地经营权可向不动产登记机构申请登记发证，作为林地流转关系和权益的有效凭证，可依法再流转或依法向金融机构融资担保。规范和简化登记办证程序，开展林地经营权列入不动产登记试点。加强林权登记和林业管理工作衔接，建立林权登记信息与林业管理信息互通共享机制。</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（二）</w:t>
      </w:r>
      <w:r>
        <w:rPr>
          <w:b w:val="0"/>
          <w:sz w:val="32"/>
          <w:bCs w:val="0"/>
          <w:rFonts w:ascii="宋体" w:hAnsi="宋体" w:eastAsia="楷体_GB2312" w:hint="eastAsia"/>
        </w:rPr>
        <w:t xml:space="preserve">完善规模经营机制。</w:t>
      </w:r>
      <w:r>
        <w:rPr>
          <w:color w:val="000000"/>
          <w:sz w:val="32"/>
          <w:lang w:val="en-US" w:eastAsia="zh-CN"/>
          <w:szCs w:val="32"/>
          <w:rFonts w:ascii="宋体" w:hAnsi="宋体" w:eastAsia="仿宋_GB2312" w:hint="eastAsia"/>
        </w:rPr>
        <w:t xml:space="preserve">加快培育林业企业、家庭林场、股份林场、林业专业合作社等新型经营主体，支持林权所有者通过出租、入股、合作等方式开展林地经营。分区分类探索国有林场经营性收入分配激励机制，鼓励国有林场组建林权收储机构，以市场化方式推动分散的林权适度规模经营，引导林企、林场、林农及村集体合作结成利益共同体，促进场村共同发展。</w:t>
      </w:r>
      <w:r>
        <w:rPr>
          <w:color w:val="000000"/>
          <w:sz w:val="32"/>
          <w:lang w:val="en-US" w:eastAsia="zh-CN"/>
          <w:szCs w:val="32"/>
          <w:rFonts w:ascii="宋体" w:hAnsi="宋体" w:eastAsia="仿宋_GB2312" w:hint="eastAsia"/>
        </w:rPr>
      </w:r>
    </w:p>
    <w:p>
      <w:pPr>
        <w:pStyle w:val="UserStyle_1"/>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（三）完善多元服务机制。</w:t>
      </w:r>
      <w:r>
        <w:rPr>
          <w:color w:val="000000"/>
          <w:sz w:val="32"/>
          <w:lang w:val="en-US" w:eastAsia="zh-CN" w:bidi="ar-SA"/>
          <w:szCs w:val="32"/>
          <w:kern w:val="2"/>
          <w:rFonts w:ascii="宋体" w:hAnsi="宋体" w:eastAsia="仿宋_GB2312" w:hint="eastAsia"/>
        </w:rPr>
        <w:t xml:space="preserve">支持建设综合性林权交易平台，完善林权交易服务体系，提供专业技术、林业生产经营、森林资源资产评估、有害生物防治等综合服务。指导企业注册地理标志商标或申报地理标志产品保护，支持有关主体申请、注册集体商标。支持林业企业申报“两品一标”（绿色食品、有机农产品和农产品地理标志）和国家森林生态标志产品，建设森林生态标志产品生产基地。</w:t>
      </w:r>
      <w:r>
        <w:rPr>
          <w:color w:val="000000"/>
          <w:sz w:val="32"/>
          <w:lang w:val="en-US" w:eastAsia="zh-CN" w:bidi="ar-SA"/>
          <w:szCs w:val="32"/>
          <w:kern w:val="2"/>
          <w:rFonts w:ascii="宋体" w:hAnsi="宋体" w:eastAsia="仿宋_GB2312" w:hint="eastAsia"/>
        </w:rPr>
      </w:r>
    </w:p>
    <w:p>
      <w:pPr>
        <w:pStyle w:val="Normal"/>
        <w:spacing w:line="600" w:lineRule="exact"/>
        <w:ind w:firstLine="632" w:firstLineChars="200"/>
        <w:rPr>
          <w:b w:val="0"/>
          <w:sz w:val="32"/>
          <w:lang w:eastAsia="zh-CN"/>
          <w:bCs w:val="0"/>
          <w:rFonts w:ascii="宋体" w:hAnsi="宋体" w:eastAsia="楷体_GB2312" w:hint="eastAsia"/>
        </w:rPr>
      </w:pPr>
      <w:r>
        <w:rPr>
          <w:b w:val="0"/>
          <w:sz w:val="32"/>
          <w:lang w:eastAsia="zh-CN"/>
          <w:bCs w:val="0"/>
          <w:rFonts w:ascii="宋体" w:hAnsi="宋体" w:eastAsia="楷体_GB2312" w:hint="eastAsia"/>
        </w:rPr>
        <w:t xml:space="preserve">（</w:t>
      </w:r>
      <w:r>
        <w:rPr>
          <w:b w:val="0"/>
          <w:sz w:val="32"/>
          <w:lang w:val="en-US" w:eastAsia="zh-CN"/>
          <w:bCs w:val="0"/>
          <w:rFonts w:ascii="宋体" w:hAnsi="宋体" w:eastAsia="楷体_GB2312" w:hint="eastAsia"/>
        </w:rPr>
        <w:t xml:space="preserve">四</w:t>
      </w:r>
      <w:r>
        <w:rPr>
          <w:b w:val="0"/>
          <w:sz w:val="32"/>
          <w:lang w:eastAsia="zh-CN"/>
          <w:bCs w:val="0"/>
          <w:rFonts w:ascii="宋体" w:hAnsi="宋体" w:eastAsia="楷体_GB2312" w:hint="eastAsia"/>
        </w:rPr>
        <w:t xml:space="preserve">）</w:t>
      </w:r>
      <w:r>
        <w:rPr>
          <w:b w:val="0"/>
          <w:sz w:val="32"/>
          <w:bCs w:val="0"/>
          <w:rFonts w:ascii="宋体" w:hAnsi="宋体" w:eastAsia="楷体_GB2312" w:hint="eastAsia"/>
        </w:rPr>
        <w:t xml:space="preserve">完善价值实现机制。</w:t>
      </w:r>
      <w:r>
        <w:rPr>
          <w:color w:val="000000"/>
          <w:sz w:val="32"/>
          <w:lang w:val="en-US" w:eastAsia="zh-CN"/>
          <w:szCs w:val="32"/>
          <w:rFonts w:ascii="宋体" w:hAnsi="宋体" w:eastAsia="仿宋_GB2312" w:hint="eastAsia"/>
        </w:rPr>
        <w:t xml:space="preserve">持续健全林业生态产品价值实现机制，争取纳入省生态产品价值实现机制试点示范建设。加快推进天然林与公益林并轨管理，全面落实森林生态效益补偿制度，调动林农管林护林积极性。探索开展碳汇造林试点，储备一批林业碳汇项目，强化森林经营和灾害防治等固碳减排措施，巩固和提升森林生态系统固碳能力，努力实现资源变资产、变资本。</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bCs w:val="0"/>
          <w:rFonts w:ascii="宋体" w:hAnsi="宋体" w:eastAsia="黑体" w:hint="eastAsia"/>
        </w:rPr>
      </w:pPr>
      <w:r>
        <w:rPr>
          <w:b w:val="0"/>
          <w:sz w:val="32"/>
          <w:bCs w:val="0"/>
          <w:rFonts w:ascii="宋体" w:hAnsi="宋体" w:eastAsia="黑体" w:hint="eastAsia"/>
        </w:rPr>
        <w:t xml:space="preserve">二、</w:t>
      </w:r>
      <w:r>
        <w:rPr>
          <w:b w:val="0"/>
          <w:sz w:val="32"/>
          <w:lang w:eastAsia="zh-CN"/>
          <w:bCs w:val="0"/>
          <w:rFonts w:ascii="宋体" w:hAnsi="宋体" w:eastAsia="黑体" w:hint="eastAsia"/>
        </w:rPr>
        <w:t xml:space="preserve">加强</w:t>
      </w:r>
      <w:r>
        <w:rPr>
          <w:b w:val="0"/>
          <w:sz w:val="32"/>
          <w:bCs w:val="0"/>
          <w:rFonts w:ascii="宋体" w:hAnsi="宋体" w:eastAsia="黑体" w:hint="eastAsia"/>
        </w:rPr>
        <w:t xml:space="preserve">造林绿化激励</w:t>
      </w:r>
      <w:r>
        <w:rPr>
          <w:b w:val="0"/>
          <w:sz w:val="32"/>
          <w:bCs w:val="0"/>
          <w:rFonts w:ascii="宋体" w:hAnsi="宋体" w:eastAsia="黑体" w:hint="eastAsia"/>
        </w:rPr>
      </w:r>
    </w:p>
    <w:p>
      <w:pPr>
        <w:pStyle w:val="Normal"/>
        <w:spacing w:line="600" w:lineRule="exact"/>
        <w:ind w:firstLine="632" w:firstLineChars="200"/>
        <w:rPr>
          <w:color w:val="000000"/>
          <w:sz w:val="32"/>
          <w:lang w:val="en-US" w:eastAsia="zh-CN"/>
          <w:szCs w:val="32"/>
          <w:rFonts w:ascii="宋体" w:hAnsi="宋体" w:eastAsia="仿宋_GB2312" w:hint="eastAsia"/>
        </w:rPr>
      </w:pPr>
      <w:r>
        <w:rPr>
          <w:color w:val="000000"/>
          <w:sz w:val="32"/>
          <w:lang w:val="en-US" w:eastAsia="zh-CN"/>
          <w:szCs w:val="32"/>
          <w:rFonts w:ascii="宋体" w:hAnsi="宋体" w:eastAsia="仿宋_GB2312" w:hint="eastAsia"/>
        </w:rPr>
        <w:t xml:space="preserve">充分调动和激发各地造林绿化的积极性、主动性、创造性，构建政府主导、企业参与、社会协同的造林绿化新机制。</w:t>
      </w:r>
      <w:r>
        <w:rPr>
          <w:color w:val="000000"/>
          <w:sz w:val="32"/>
          <w:lang w:val="en-US" w:eastAsia="zh-CN"/>
          <w:szCs w:val="32"/>
          <w:rFonts w:ascii="宋体" w:hAnsi="宋体" w:eastAsia="仿宋_GB2312" w:hint="eastAsia"/>
        </w:rPr>
      </w:r>
    </w:p>
    <w:p>
      <w:pPr>
        <w:pStyle w:val="Normal"/>
        <w:keepNext w:val="0"/>
        <w:keepLines w:val="0"/>
        <w:pageBreakBefore w:val="0"/>
        <w:wordWrap w:val="1"/>
        <w:overflowPunct w:val="1"/>
        <w:topLinePunct w:val="0"/>
        <w:kinsoku w:val="1"/>
        <w:autoSpaceDE w:val="1"/>
        <w:autoSpaceDN w:val="1"/>
        <w:bidi w:val="0"/>
        <w:snapToGrid w:val="1"/>
        <w:widowContro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（五）完善绿化支持机制。</w:t>
      </w:r>
      <w:r>
        <w:rPr>
          <w:color w:val="000000"/>
          <w:sz w:val="32"/>
          <w:lang w:val="en-US" w:eastAsia="zh-CN"/>
          <w:szCs w:val="32"/>
          <w:rFonts w:ascii="宋体" w:hAnsi="宋体" w:eastAsia="仿宋_GB2312" w:hint="eastAsia"/>
        </w:rPr>
        <w:t xml:space="preserve">大力实施国家储备林建设，积极争取涉林项目落地。鼓励打造绿美示范点，持续开展县镇村绿化建设，市财政根据建设成效予以资金激励。社会资本投资建设公益林或国家储备林，符合条件的可享受同等的财政补助政策。支持重点区域生态保护修复，对县区历史遗留矿山生态修复项目实施以奖代补。鼓励通过先造后补等方式支持社会力量参与造林绿化，符合条件的乡村植树造林绿化可纳入先造后补范围。</w:t>
      </w:r>
      <w:r>
        <w:rPr>
          <w:color w:val="000000"/>
          <w:sz w:val="32"/>
          <w:lang w:val="en-US" w:eastAsia="zh-CN"/>
          <w:szCs w:val="32"/>
          <w:rFonts w:ascii="宋体" w:hAnsi="宋体" w:eastAsia="仿宋_GB2312" w:hint="eastAsia"/>
        </w:rPr>
        <w:t xml:space="preserve">对捐资造林500亩以上的企业，可授予绿地、林木冠名权。</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（六）完善种苗保障机制。</w:t>
      </w:r>
      <w:r>
        <w:rPr>
          <w:color w:val="000000"/>
          <w:sz w:val="32"/>
          <w:lang w:val="en-US" w:eastAsia="zh-CN"/>
          <w:szCs w:val="32"/>
          <w:rFonts w:ascii="宋体" w:hAnsi="宋体" w:eastAsia="仿宋_GB2312" w:hint="eastAsia"/>
        </w:rPr>
        <w:t xml:space="preserve">支持本市国有林场、国有企业开展林木良种基地和保障性苗圃建设。扶持建设一批林木良种基地、保障性苗圃和种苗生产龙头企业，逐步建立乡土树种保障性苗圃基地生产供应长效机制。鼓励育苗基地申报认定省级重点林木良种基地和保障性苗圃，优先享受国家林业扶持政策。实行订单育苗、定向供苗机制，优先选择省级重点林木良种基地和保障性苗圃作为供苗单位。加强林木种苗生产供应预测预报和余缺调剂，支持林木种苗协会和专业合作组织发展。</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（七）完善审批简化机制。</w:t>
      </w:r>
      <w:r>
        <w:rPr>
          <w:color w:val="000000"/>
          <w:sz w:val="32"/>
          <w:lang w:val="en-US" w:eastAsia="zh-CN"/>
          <w:szCs w:val="32"/>
          <w:rFonts w:ascii="宋体" w:hAnsi="宋体" w:eastAsia="仿宋_GB2312" w:hint="eastAsia"/>
        </w:rPr>
        <w:t xml:space="preserve">对林业经营者实行林木采伐限额5年总额控制政策，取消人工商品林主伐年龄限制，实行告知承诺方式审批。对林农个人申请采伐人工商品林30立方米（含）以下的，精简或取消伐前查验等程序，实行告知承诺制审批。对林农申请采伐桉树、松树、杉木人工林面积1公顷（含）以下的或采伐蓄积量30立方米以上、120立方米（含）以下的，在确保森林资源和生态安全的前提下，试点实行采伐简易自主设计和告知承诺制审批。</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lang w:eastAsia="zh-CN"/>
          <w:bCs w:val="0"/>
          <w:rFonts w:ascii="宋体" w:hAnsi="宋体" w:eastAsia="楷体_GB2312" w:hint="eastAsia"/>
        </w:rPr>
      </w:pPr>
      <w:r>
        <w:rPr>
          <w:b w:val="0"/>
          <w:sz w:val="32"/>
          <w:lang w:eastAsia="zh-CN"/>
          <w:bCs w:val="0"/>
          <w:rFonts w:ascii="宋体" w:hAnsi="宋体" w:eastAsia="楷体_GB2312" w:hint="eastAsia"/>
        </w:rPr>
        <w:t xml:space="preserve">（</w:t>
      </w:r>
      <w:r>
        <w:rPr>
          <w:b w:val="0"/>
          <w:sz w:val="32"/>
          <w:lang w:val="en-US" w:eastAsia="zh-CN"/>
          <w:bCs w:val="0"/>
          <w:rFonts w:ascii="宋体" w:hAnsi="宋体" w:eastAsia="楷体_GB2312" w:hint="eastAsia"/>
        </w:rPr>
        <w:t xml:space="preserve">八</w:t>
      </w:r>
      <w:r>
        <w:rPr>
          <w:b w:val="0"/>
          <w:sz w:val="32"/>
          <w:lang w:eastAsia="zh-CN"/>
          <w:bCs w:val="0"/>
          <w:rFonts w:ascii="宋体" w:hAnsi="宋体" w:eastAsia="楷体_GB2312" w:hint="eastAsia"/>
        </w:rPr>
        <w:t xml:space="preserve">）</w:t>
      </w:r>
      <w:r>
        <w:rPr>
          <w:b w:val="0"/>
          <w:sz w:val="32"/>
          <w:bCs w:val="0"/>
          <w:rFonts w:ascii="宋体" w:hAnsi="宋体" w:eastAsia="楷体_GB2312" w:hint="eastAsia"/>
        </w:rPr>
        <w:t xml:space="preserve">完善</w:t>
      </w:r>
      <w:r>
        <w:rPr>
          <w:b w:val="0"/>
          <w:sz w:val="32"/>
          <w:lang w:val="en-US" w:eastAsia="zh-CN"/>
          <w:bCs w:val="0"/>
          <w:rFonts w:ascii="宋体" w:hAnsi="宋体" w:eastAsia="楷体_GB2312" w:hint="eastAsia"/>
        </w:rPr>
        <w:t xml:space="preserve">社会参与</w:t>
      </w:r>
      <w:r>
        <w:rPr>
          <w:b w:val="0"/>
          <w:sz w:val="32"/>
          <w:bCs w:val="0"/>
          <w:rFonts w:ascii="宋体" w:hAnsi="宋体" w:eastAsia="楷体_GB2312" w:hint="eastAsia"/>
        </w:rPr>
        <w:t xml:space="preserve">机制。</w:t>
      </w:r>
      <w:r>
        <w:rPr>
          <w:color w:val="000000"/>
          <w:sz w:val="32"/>
          <w:lang w:val="en-US" w:eastAsia="zh-CN"/>
          <w:szCs w:val="32"/>
          <w:rFonts w:ascii="宋体" w:hAnsi="宋体" w:eastAsia="仿宋_GB2312" w:hint="eastAsia"/>
        </w:rPr>
        <w:t xml:space="preserve">鼓励包括香港河源社团总会在内的各地河源商会组织和个人参与林分优化林相改善、生物多样性保护、生态屏障建设、生态碳汇等绿美生态建设项目，予以优先推荐申报。</w:t>
      </w:r>
      <w:r>
        <w:rPr>
          <w:b w:val="0"/>
          <w:color w:val="000000"/>
          <w:spacing w:val="-6"/>
          <w:sz w:val="32"/>
          <w:lang w:eastAsia="zh-CN"/>
          <w:bCs w:val="0"/>
          <w:rFonts w:ascii="宋体" w:hAnsi="宋体" w:hint="eastAsia"/>
        </w:rPr>
        <w:t xml:space="preserve">充分发动群众</w:t>
      </w:r>
      <w:r>
        <w:rPr>
          <w:b w:val="0"/>
          <w:color w:val="000000"/>
          <w:spacing w:val="-6"/>
          <w:sz w:val="32"/>
          <w:lang w:val="en-US" w:eastAsia="zh-CN"/>
          <w:bCs w:val="0"/>
          <w:rFonts w:ascii="宋体" w:hAnsi="宋体" w:hint="eastAsia"/>
        </w:rPr>
        <w:t xml:space="preserve">参与绿美生态建设，大力开展</w:t>
      </w:r>
      <w:r>
        <w:rPr>
          <w:b w:val="0"/>
          <w:color w:val="000000"/>
          <w:spacing w:val="-6"/>
          <w:sz w:val="32"/>
          <w:lang w:eastAsia="zh-CN"/>
          <w:bCs w:val="0"/>
          <w:rFonts w:ascii="宋体" w:hAnsi="宋体" w:hint="eastAsia"/>
        </w:rPr>
        <w:t xml:space="preserve">“我在万绿湖有棵树”“我为家乡添片绿”</w:t>
      </w:r>
      <w:r>
        <w:rPr>
          <w:b w:val="0"/>
          <w:color w:val="000000"/>
          <w:spacing w:val="-6"/>
          <w:sz w:val="32"/>
          <w:lang w:val="en-US" w:eastAsia="zh-CN"/>
          <w:bCs w:val="0"/>
          <w:rFonts w:ascii="宋体" w:hAnsi="宋体" w:hint="eastAsia"/>
        </w:rPr>
        <w:t xml:space="preserve">等</w:t>
      </w:r>
      <w:r>
        <w:rPr>
          <w:b w:val="0"/>
          <w:color w:val="000000"/>
          <w:spacing w:val="-6"/>
          <w:sz w:val="32"/>
          <w:lang w:eastAsia="zh-CN"/>
          <w:bCs w:val="0"/>
          <w:rFonts w:ascii="宋体" w:hAnsi="宋体" w:hint="eastAsia"/>
        </w:rPr>
        <w:t xml:space="preserve">活动。</w:t>
      </w:r>
      <w:r>
        <w:rPr>
          <w:b w:val="0"/>
          <w:color w:val="000000"/>
          <w:spacing w:val="-6"/>
          <w:sz w:val="32"/>
          <w:lang w:val="en-US" w:eastAsia="zh-CN"/>
          <w:bCs w:val="0"/>
          <w:rFonts w:ascii="宋体" w:hAnsi="宋体" w:hint="eastAsia"/>
        </w:rPr>
        <w:t xml:space="preserve">倡导全市上下开展县镇村绿化“N个一”活动，发动群众开展</w:t>
      </w:r>
      <w:r>
        <w:rPr>
          <w:b w:val="0"/>
          <w:color w:val="000000"/>
          <w:spacing w:val="-6"/>
          <w:sz w:val="32"/>
          <w:lang w:eastAsia="zh-CN"/>
          <w:bCs w:val="0"/>
          <w:rFonts w:ascii="宋体" w:hAnsi="宋体" w:hint="eastAsia"/>
        </w:rPr>
        <w:t xml:space="preserve">“一人一树”活动，</w:t>
      </w:r>
      <w:r>
        <w:rPr>
          <w:b w:val="0"/>
          <w:color w:val="000000"/>
          <w:spacing w:val="-6"/>
          <w:sz w:val="32"/>
          <w:lang w:val="en-US" w:eastAsia="zh-CN"/>
          <w:bCs w:val="0"/>
          <w:rFonts w:ascii="宋体" w:hAnsi="宋体" w:hint="eastAsia"/>
        </w:rPr>
        <w:t xml:space="preserve">发动市县镇党员干部开展</w:t>
      </w:r>
      <w:r>
        <w:rPr>
          <w:b w:val="0"/>
          <w:color w:val="000000"/>
          <w:spacing w:val="-6"/>
          <w:sz w:val="32"/>
          <w:lang w:eastAsia="zh-CN"/>
          <w:bCs w:val="0"/>
          <w:rFonts w:ascii="宋体" w:hAnsi="宋体" w:hint="eastAsia"/>
        </w:rPr>
        <w:t xml:space="preserve">“一党员一宅边绿”活动，</w:t>
      </w:r>
      <w:r>
        <w:rPr>
          <w:b w:val="0"/>
          <w:color w:val="000000"/>
          <w:spacing w:val="-6"/>
          <w:sz w:val="32"/>
          <w:lang w:val="en-US" w:eastAsia="zh-CN"/>
          <w:bCs w:val="0"/>
          <w:rFonts w:ascii="宋体" w:hAnsi="宋体" w:hint="eastAsia"/>
        </w:rPr>
        <w:t xml:space="preserve">发动各级党支部开展“</w:t>
      </w:r>
      <w:r>
        <w:rPr>
          <w:b w:val="0"/>
          <w:color w:val="000000"/>
          <w:spacing w:val="-6"/>
          <w:sz w:val="32"/>
          <w:lang w:eastAsia="zh-CN"/>
          <w:bCs w:val="0"/>
          <w:rFonts w:ascii="宋体" w:hAnsi="宋体" w:hint="eastAsia"/>
        </w:rPr>
        <w:t xml:space="preserve">一支部一片示范林”活动，</w:t>
      </w:r>
      <w:r>
        <w:rPr>
          <w:b w:val="0"/>
          <w:color w:val="000000"/>
          <w:spacing w:val="-6"/>
          <w:sz w:val="32"/>
          <w:lang w:val="en-US" w:eastAsia="zh-CN"/>
          <w:bCs w:val="0"/>
          <w:rFonts w:ascii="宋体" w:hAnsi="宋体" w:hint="eastAsia"/>
        </w:rPr>
        <w:t xml:space="preserve">发动企业、社会组织等开展</w:t>
      </w:r>
      <w:r>
        <w:rPr>
          <w:b w:val="0"/>
          <w:color w:val="000000"/>
          <w:spacing w:val="-6"/>
          <w:sz w:val="32"/>
          <w:lang w:eastAsia="zh-CN"/>
          <w:bCs w:val="0"/>
          <w:rFonts w:ascii="宋体" w:hAnsi="宋体" w:hint="eastAsia"/>
        </w:rPr>
        <w:t xml:space="preserve">“一单位一片爱心林”活动。</w:t>
      </w:r>
      <w:r>
        <w:rPr>
          <w:b w:val="0"/>
          <w:color w:val="000000"/>
          <w:spacing w:val="-6"/>
          <w:sz w:val="32"/>
          <w:lang w:val="en-US" w:eastAsia="zh-CN"/>
          <w:bCs w:val="0"/>
          <w:rFonts w:ascii="宋体" w:hAnsi="宋体"/>
        </w:rPr>
      </w:r>
    </w:p>
    <w:p>
      <w:pPr>
        <w:pStyle w:val="Normal"/>
        <w:spacing w:line="600" w:lineRule="exact"/>
        <w:ind w:firstLine="632" w:firstLineChars="200"/>
        <w:rPr>
          <w:b w:val="0"/>
          <w:sz w:val="32"/>
          <w:bCs w:val="0"/>
          <w:rFonts w:ascii="宋体" w:hAnsi="宋体" w:eastAsia="黑体" w:hint="eastAsia"/>
        </w:rPr>
      </w:pPr>
      <w:r>
        <w:rPr>
          <w:b w:val="0"/>
          <w:sz w:val="32"/>
          <w:bCs w:val="0"/>
          <w:rFonts w:ascii="宋体" w:hAnsi="宋体" w:eastAsia="黑体" w:hint="eastAsia"/>
        </w:rPr>
        <w:t xml:space="preserve">三、</w:t>
      </w:r>
      <w:r>
        <w:rPr>
          <w:b w:val="0"/>
          <w:sz w:val="32"/>
          <w:lang w:eastAsia="zh-CN"/>
          <w:bCs w:val="0"/>
          <w:rFonts w:ascii="宋体" w:hAnsi="宋体" w:eastAsia="黑体" w:hint="eastAsia"/>
        </w:rPr>
        <w:t xml:space="preserve">支持</w:t>
      </w:r>
      <w:r>
        <w:rPr>
          <w:b w:val="0"/>
          <w:sz w:val="32"/>
          <w:bCs w:val="0"/>
          <w:rFonts w:ascii="宋体" w:hAnsi="宋体" w:eastAsia="黑体" w:hint="eastAsia"/>
        </w:rPr>
        <w:t xml:space="preserve">产业发展</w:t>
      </w:r>
      <w:r>
        <w:rPr>
          <w:b w:val="0"/>
          <w:sz w:val="32"/>
          <w:bCs w:val="0"/>
          <w:rFonts w:ascii="宋体" w:hAnsi="宋体" w:eastAsia="黑体" w:hint="eastAsia"/>
        </w:rPr>
      </w:r>
    </w:p>
    <w:p>
      <w:pPr>
        <w:pStyle w:val="Normal"/>
        <w:spacing w:line="600" w:lineRule="exact"/>
        <w:ind w:firstLine="632" w:firstLineChars="200"/>
        <w:rPr>
          <w:color w:val="000000"/>
          <w:sz w:val="32"/>
          <w:lang w:val="en-US" w:eastAsia="zh-CN"/>
          <w:szCs w:val="32"/>
          <w:rFonts w:ascii="宋体" w:hAnsi="宋体" w:eastAsia="仿宋_GB2312" w:hint="eastAsia"/>
        </w:rPr>
      </w:pPr>
      <w:r>
        <w:rPr>
          <w:color w:val="000000"/>
          <w:sz w:val="32"/>
          <w:lang w:val="en-US" w:eastAsia="zh-CN"/>
          <w:szCs w:val="32"/>
          <w:rFonts w:ascii="宋体" w:hAnsi="宋体" w:eastAsia="仿宋_GB2312" w:hint="eastAsia"/>
        </w:rPr>
        <w:t xml:space="preserve">坚持“因绿而兴、以绿生金”，加大林业产业扶持力度，推动林业一二三产高质量融合发展，提升绿美河源综合效益。</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（九）完善一产增效机制。</w:t>
      </w:r>
      <w:r>
        <w:rPr>
          <w:color w:val="000000"/>
          <w:sz w:val="32"/>
          <w:lang w:val="en-US" w:eastAsia="zh-CN"/>
          <w:szCs w:val="32"/>
          <w:rFonts w:ascii="宋体" w:hAnsi="宋体" w:eastAsia="仿宋_GB2312" w:hint="eastAsia"/>
        </w:rPr>
        <w:t xml:space="preserve">建立健全市级示范奖补政策，对符合条件的市级林业龙头企业、林下经济示范基地予以奖补。支持因地制宜发展油茶、茶叶、南药、竹子等产业，大力发展林下经济等非木质产业。对省级公益林等林地中的老油茶林开展带状更新改造试点，对符合项目技术要求的油茶低改，全部纳入补助范围。对油茶林新造及低改达到一定面积的给予一次性奖补。允许将二级国家级公益林、省级公益林依程序调整为商品林，用于建设高标准油茶林。允许对划为天然林、公益林的油茶林采取带状更新、高接换冠、品种更新等方式实施低产林改造。</w:t>
      </w:r>
      <w:r>
        <w:rPr>
          <w:color w:val="000000"/>
          <w:sz w:val="32"/>
          <w:lang w:val="en-US" w:eastAsia="zh-CN"/>
          <w:szCs w:val="32"/>
          <w:rFonts w:ascii="宋体" w:hAnsi="宋体" w:eastAsia="仿宋_GB2312" w:hint="eastAsia"/>
        </w:rPr>
      </w:r>
    </w:p>
    <w:p>
      <w:pPr>
        <w:pStyle w:val="Normal"/>
        <w:keepNext w:val="0"/>
        <w:keepLines w:val="0"/>
        <w:snapToGrid w:val="1"/>
        <w:widowContro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（十）完善二产做强机制。</w:t>
      </w:r>
      <w:r>
        <w:rPr>
          <w:color w:val="000000"/>
          <w:sz w:val="32"/>
          <w:lang w:val="en-US" w:eastAsia="zh-CN"/>
          <w:szCs w:val="32"/>
          <w:rFonts w:ascii="宋体" w:hAnsi="宋体" w:eastAsia="仿宋_GB2312" w:hint="eastAsia"/>
        </w:rPr>
        <w:t xml:space="preserve">加快完善特色经济林生产标准化体系建设，引导林农开展标准化生产、集约式经营，支持储藏加工企业开展精深加工和副产品开发，提高综合效益。支持油茶深加工，对年产销茶油1000吨以上的生产企业给予补助，扶持一批油茶龙头企业做大做强。支持做大竹材建材产业规模，探索建设木竹产业园区，加大竹材展平技术和设备的推广应用，做全做长木竹精深加工产业链条。纳入储备库的生态保护修复项目和生态产业项目涉及新增建设用地指标、林地定额及林木采伐限额的，优先保障。对符合规划、不改变用途，提高土地利用率和增加容积率的林产品加工类工业项目，不再增收土地价款。</w:t>
      </w:r>
      <w:r>
        <w:rPr>
          <w:color w:val="000000"/>
          <w:sz w:val="32"/>
          <w:lang w:val="en-US" w:eastAsia="zh-CN"/>
          <w:szCs w:val="32"/>
          <w:rFonts w:ascii="宋体" w:hAnsi="宋体" w:eastAsia="仿宋_GB2312" w:hint="eastAsia"/>
        </w:rPr>
      </w:r>
    </w:p>
    <w:p>
      <w:pPr>
        <w:pStyle w:val="Normal"/>
        <w:keepNext w:val="0"/>
        <w:keepLines w:val="0"/>
        <w:snapToGrid w:val="1"/>
        <w:widowContro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（十一）完善三产壮大机制。</w:t>
      </w:r>
      <w:r>
        <w:rPr>
          <w:color w:val="000000"/>
          <w:sz w:val="32"/>
          <w:lang w:val="en-US" w:eastAsia="zh-CN"/>
          <w:szCs w:val="32"/>
          <w:rFonts w:ascii="宋体" w:hAnsi="宋体" w:eastAsia="仿宋_GB2312" w:hint="eastAsia"/>
        </w:rPr>
        <w:t xml:space="preserve">支持利用非保护重点区域的天然林和二级国家级公益林及地方公益林，经过县级以上林业主管部门对生态安全和生物多样性影响评估论证的，适度发展生态旅游、休闲康养、特色种植养殖等产业。各类市场主体实施林地修复工程并达到500亩以上的，可利用不超过修复面积3%、不超过30亩的土地转为建设用地从事生态旅游、森林康养、设施农（林）业等林业产业开发。符合条件的，可按点状供地政策办理相关手续。经充分论证确有必要的，可结合生态保护修复需要在县域内统筹安排生态产业用地。</w:t>
      </w:r>
      <w:r>
        <w:rPr>
          <w:color w:val="000000"/>
          <w:sz w:val="32"/>
          <w:lang w:val="en-US" w:eastAsia="zh-CN"/>
          <w:szCs w:val="32"/>
          <w:rFonts w:ascii="宋体" w:hAnsi="宋体" w:eastAsia="仿宋_GB2312" w:hint="eastAsia"/>
        </w:rPr>
      </w:r>
    </w:p>
    <w:p>
      <w:pPr>
        <w:pStyle w:val="Normal"/>
        <w:keepNext w:val="0"/>
        <w:keepLines w:val="0"/>
        <w:snapToGrid w:val="1"/>
        <w:widowContro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（十二）完善产业融合机制。</w:t>
      </w:r>
      <w:r>
        <w:rPr>
          <w:color w:val="000000"/>
          <w:sz w:val="32"/>
          <w:lang w:val="en-US" w:eastAsia="zh-CN"/>
          <w:szCs w:val="32"/>
          <w:rFonts w:ascii="宋体" w:hAnsi="宋体" w:eastAsia="仿宋_GB2312" w:hint="eastAsia"/>
        </w:rPr>
        <w:t xml:space="preserve">推动林业生态与“非遗”资源、历史名镇名村、生态观光农业等相结合，聚力发展森林文旅、森林康养产业，创建一批国家级和省级森林康养基地，推动森林康养与医疗、养老、体育、文化等行业深度融合。加快森林生态标志产品建设工程建设，创建林特产品优势区和林业产业示范园区，培育一批林特小品种大产业基地，推进一二三产业深度融合。在年度土地利用计划编制时加大森林旅游康养及林产品加工等项目支持。</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bCs w:val="0"/>
          <w:rFonts w:ascii="宋体" w:hAnsi="宋体" w:eastAsia="黑体" w:hint="eastAsia"/>
        </w:rPr>
      </w:pPr>
      <w:r>
        <w:rPr>
          <w:b w:val="0"/>
          <w:sz w:val="32"/>
          <w:bCs w:val="0"/>
          <w:rFonts w:ascii="宋体" w:hAnsi="宋体" w:eastAsia="黑体" w:hint="eastAsia"/>
        </w:rPr>
        <w:t xml:space="preserve">四、</w:t>
      </w:r>
      <w:r>
        <w:rPr>
          <w:b w:val="0"/>
          <w:sz w:val="32"/>
          <w:lang w:eastAsia="zh-CN"/>
          <w:bCs w:val="0"/>
          <w:rFonts w:ascii="宋体" w:hAnsi="宋体" w:eastAsia="黑体" w:hint="eastAsia"/>
        </w:rPr>
        <w:t xml:space="preserve">加大</w:t>
      </w:r>
      <w:r>
        <w:rPr>
          <w:b w:val="0"/>
          <w:sz w:val="32"/>
          <w:bCs w:val="0"/>
          <w:rFonts w:ascii="宋体" w:hAnsi="宋体" w:eastAsia="黑体" w:hint="eastAsia"/>
        </w:rPr>
        <w:t xml:space="preserve">保障</w:t>
      </w:r>
      <w:r>
        <w:rPr>
          <w:b w:val="0"/>
          <w:sz w:val="32"/>
          <w:lang w:eastAsia="zh-CN"/>
          <w:bCs w:val="0"/>
          <w:rFonts w:ascii="宋体" w:hAnsi="宋体" w:eastAsia="黑体" w:hint="eastAsia"/>
        </w:rPr>
        <w:t xml:space="preserve">力度</w:t>
      </w:r>
      <w:r>
        <w:rPr>
          <w:b w:val="0"/>
          <w:sz w:val="32"/>
          <w:lang w:eastAsia="zh-CN"/>
          <w:bCs w:val="0"/>
          <w:rFonts w:ascii="宋体" w:hAnsi="宋体" w:eastAsia="黑体" w:hint="eastAsia"/>
        </w:rPr>
      </w:r>
    </w:p>
    <w:p>
      <w:pPr>
        <w:pStyle w:val="Normal"/>
        <w:spacing w:line="600" w:lineRule="exact"/>
        <w:ind w:firstLine="632" w:firstLineChars="200"/>
        <w:rPr>
          <w:color w:val="000000"/>
          <w:sz w:val="32"/>
          <w:lang w:val="en-US" w:eastAsia="zh-CN"/>
          <w:szCs w:val="32"/>
          <w:rFonts w:ascii="宋体" w:hAnsi="宋体" w:eastAsia="仿宋_GB2312" w:hint="eastAsia"/>
        </w:rPr>
      </w:pPr>
      <w:r>
        <w:rPr>
          <w:color w:val="000000"/>
          <w:sz w:val="32"/>
          <w:lang w:val="en-US" w:eastAsia="zh-CN"/>
          <w:szCs w:val="32"/>
          <w:rFonts w:ascii="宋体" w:hAnsi="宋体" w:eastAsia="仿宋_GB2312" w:hint="eastAsia"/>
        </w:rPr>
        <w:t xml:space="preserve">积极争取国家、省的资金和项目落地，大力统筹各类涉林涉农资金，推动资金集约管理和高效利用。</w:t>
      </w:r>
      <w:r>
        <w:rPr>
          <w:color w:val="000000"/>
          <w:sz w:val="32"/>
          <w:lang w:val="en-US" w:eastAsia="zh-CN"/>
          <w:szCs w:val="32"/>
          <w:rFonts w:ascii="宋体" w:hAnsi="宋体" w:eastAsia="仿宋_GB2312" w:hint="eastAsia"/>
        </w:rPr>
      </w:r>
    </w:p>
    <w:p>
      <w:pPr>
        <w:pStyle w:val="Normal"/>
        <w:keepNext w:val="0"/>
        <w:keepLines w:val="0"/>
        <w:pageBreakBefore w:val="0"/>
        <w:wordWrap w:val="1"/>
        <w:overflowPunct w:val="1"/>
        <w:topLinePunct w:val="0"/>
        <w:kinsoku w:val="1"/>
        <w:autoSpaceDE w:val="1"/>
        <w:autoSpaceDN w:val="1"/>
        <w:bidi w:val="0"/>
        <w:snapToGrid w:val="1"/>
        <w:widowContro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（十三）完善金融支持机制。</w:t>
      </w:r>
      <w:r>
        <w:rPr>
          <w:color w:val="000000"/>
          <w:sz w:val="32"/>
          <w:lang w:val="en-US" w:eastAsia="zh-CN"/>
          <w:szCs w:val="32"/>
          <w:rFonts w:ascii="宋体" w:hAnsi="宋体" w:eastAsia="仿宋_GB2312" w:hint="eastAsia"/>
        </w:rPr>
        <w:t xml:space="preserve">建立健全政银企社合作对接机制，搭建信息共享、资金对接平台。鼓励金融机构开发符合林业生产特点的周期长、利率低、手续</w:t>
      </w:r>
      <w:r>
        <w:rPr>
          <w:color w:val="000000"/>
          <w:sz w:val="32"/>
          <w:lang w:val="en-US" w:eastAsia="zh-CN"/>
          <w:szCs w:val="32"/>
          <w:rFonts w:ascii="宋体" w:hAnsi="宋体" w:hint="eastAsia"/>
        </w:rPr>
        <w:t xml:space="preserve">便捷</w:t>
      </w:r>
      <w:r>
        <w:rPr>
          <w:color w:val="000000"/>
          <w:sz w:val="32"/>
          <w:lang w:val="en-US" w:eastAsia="zh-CN"/>
          <w:szCs w:val="32"/>
          <w:rFonts w:ascii="宋体" w:hAnsi="宋体" w:eastAsia="仿宋_GB2312" w:hint="eastAsia"/>
        </w:rPr>
        <w:t xml:space="preserve">的林业金融产品。根据林业政策贷款主要支持范围储备林业项目，建立林业项目与金融机构双向选择通道。鼓励因地制宜开展林业特色保险，探索开展林木种苗保险试点，积极推广油茶鲜果、古树名木救护、森林碳汇、野生动物致害等保险，按规定给予保费补贴或奖补。</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（十四）完善担保支持机制。</w:t>
      </w:r>
      <w:r>
        <w:rPr>
          <w:color w:val="000000"/>
          <w:sz w:val="32"/>
          <w:lang w:val="en-US" w:eastAsia="zh-CN"/>
          <w:szCs w:val="32"/>
          <w:rFonts w:ascii="宋体" w:hAnsi="宋体" w:eastAsia="仿宋_GB2312" w:hint="eastAsia"/>
        </w:rPr>
        <w:t xml:space="preserve">积极开展融资担保，推广林权抵押、公益林补偿收益权质押、预期收益质押等贷款产品。</w:t>
      </w:r>
      <w:r>
        <w:rPr>
          <w:color w:val="000000"/>
          <w:sz w:val="32"/>
          <w:lang w:val="en-US" w:eastAsia="zh-CN"/>
          <w:szCs w:val="32"/>
          <w:rFonts w:ascii="宋体" w:hAnsi="宋体" w:eastAsia="仿宋_GB2312" w:hint="eastAsia"/>
        </w:rPr>
        <w:t xml:space="preserve">鼓励各类担保机构通过再担保、联合担保以及担保与保险相结合等多种方式，积极提供林业生产发展的融资担保服务。支持省级以上林业重点龙头企业、林业专业合作社开展林业经营主体间林权收储担保业务。探索制定林业经营主体间林权收储担保监管办法，对收储担保机构进行业务指导和监督管理，逐步建成覆盖市、县、镇三级林权收储担保体系。推动银保联动，支持“见贷即保”“见保即贷”，发挥保单融资增信功能，助力涉林企业降本增效。</w:t>
      </w:r>
      <w:r>
        <w:rPr>
          <w:color w:val="000000"/>
          <w:sz w:val="32"/>
          <w:lang w:val="en-US" w:eastAsia="zh-CN"/>
          <w:szCs w:val="32"/>
          <w:rFonts w:ascii="宋体" w:hAnsi="宋体" w:eastAsia="仿宋_GB2312" w:hint="eastAsia"/>
        </w:rPr>
      </w:r>
    </w:p>
    <w:p>
      <w:pPr>
        <w:pStyle w:val="Normal"/>
        <w:widowContro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（十五）完善贴息支持机制。</w:t>
      </w:r>
      <w:r>
        <w:rPr>
          <w:color w:val="000000"/>
          <w:sz w:val="32"/>
          <w:lang w:val="en-US" w:eastAsia="zh-CN"/>
          <w:szCs w:val="32"/>
          <w:rFonts w:ascii="宋体" w:hAnsi="宋体" w:eastAsia="仿宋_GB2312" w:hint="eastAsia"/>
        </w:rPr>
        <w:t xml:space="preserve">加强政银企联动，吸引金融部门的信贷资金、林业部门的扶持资金、企业单位自有资金及社会其他闲散资金有效投入林业生态建设领域。建立由政府推动、政策性银行主导、商业银行与社会资本广泛参与的林业信贷投入机制，为林业龙头企业、新型林业企业、经营大户、家庭林场等经营主体提供政策性贴息贷款，调动广大林农融资开展林业生产经营的积极性。支持各类社会主体申请贷款贴息，探索实施“油茶贷”等财政贷款贴息等扶持政策。</w:t>
      </w:r>
      <w:r>
        <w:rPr>
          <w:color w:val="000000"/>
          <w:sz w:val="32"/>
          <w:lang w:val="en-US" w:eastAsia="zh-CN"/>
          <w:szCs w:val="32"/>
          <w:rFonts w:ascii="宋体" w:hAnsi="宋体" w:eastAsia="仿宋_GB2312" w:hint="eastAsia"/>
        </w:rPr>
      </w:r>
    </w:p>
    <w:p>
      <w:pPr>
        <w:pStyle w:val="Normal"/>
        <w:spacing w:line="600" w:lineRule="exact"/>
        <w:ind w:firstLine="632" w:firstLineChars="200"/>
        <w:rPr>
          <w:b w:val="0"/>
          <w:sz w:val="32"/>
          <w:lang w:val="en-US" w:eastAsia="zh-CN"/>
          <w:bCs w:val="0"/>
          <w:rFonts w:ascii="宋体" w:hAnsi="宋体" w:eastAsia="楷体_GB2312" w:hint="eastAsia"/>
        </w:rPr>
      </w:pPr>
      <w:r>
        <w:rPr>
          <w:b w:val="0"/>
          <w:sz w:val="32"/>
          <w:lang w:val="en-US" w:eastAsia="zh-CN"/>
          <w:bCs w:val="0"/>
          <w:rFonts w:ascii="宋体" w:hAnsi="宋体" w:eastAsia="楷体_GB2312" w:hint="eastAsia"/>
        </w:rPr>
        <w:t xml:space="preserve">（十六）完善税费支持机制。</w:t>
      </w:r>
      <w:r>
        <w:rPr>
          <w:color w:val="000000"/>
          <w:sz w:val="32"/>
          <w:lang w:val="en-US" w:eastAsia="zh-CN"/>
          <w:szCs w:val="32"/>
          <w:rFonts w:ascii="宋体" w:hAnsi="宋体" w:eastAsia="仿宋_GB2312" w:hint="eastAsia"/>
        </w:rPr>
        <w:t xml:space="preserve">对林（农）业专业大户、家庭林（农）场、林（农）业专业合作社自产自销的林下种植、养殖和特色林产品，按相关规定免征增值税。直接用于林业的生产用地免征土地使用税。对各类市场主体从事林业生态保护修复、生态旅游和森林康养等项目所得，符合农、林、牧、渔项目企业所得税优惠相关规定的，减免企业所得税。林产品初加工所得按相关规定免征企业所得税。对投资林业并通过高新技术企业</w:t>
      </w:r>
      <w:r>
        <w:rPr>
          <w:color w:val="000000"/>
          <w:sz w:val="32"/>
          <w:lang w:val="en-US" w:eastAsia="zh-CN"/>
          <w:szCs w:val="32"/>
          <w:rFonts w:ascii="宋体" w:hAnsi="宋体" w:hint="eastAsia"/>
        </w:rPr>
        <w:t xml:space="preserve">资格</w:t>
      </w:r>
      <w:r>
        <w:rPr>
          <w:color w:val="000000"/>
          <w:sz w:val="32"/>
          <w:lang w:val="en-US" w:eastAsia="zh-CN"/>
          <w:szCs w:val="32"/>
          <w:rFonts w:ascii="宋体" w:hAnsi="宋体" w:eastAsia="仿宋_GB2312" w:hint="eastAsia"/>
        </w:rPr>
        <w:t xml:space="preserve">认定的企业，减按15%的税率征收企业所得税。</w:t>
      </w:r>
    </w:p>
    <w:sectPr>
      <w:footerReference r:id="rId4" w:type="default"/>
      <w:footerReference r:id="rId3" w:type="even"/>
      <w:type w:val="nextPage"/>
      <w:docGrid w:type="linesAndChars" w:linePitch="600" w:charSpace="-849"/>
      <w:pgSz w:w="11906" w:h="16838"/>
      <w:pgMar w:top="1531" w:right="1531" w:bottom="2098" w:left="1531" w:header="0" w:footer="1191" w:gutter="0"/>
      <w:pgNumType w:fmt="Decimal"/>
    </w:sectPr>
  </w:body>
</w:document>
</file>

<file path=word/fontTable.xml><?xml version="1.0" encoding="utf-8"?>
<w:font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00" w:usb3="00000000" w:csb0="00040000" w:csb1="00000000"/>
  </w:font>
  <w:font w:name="Times New Roman">
    <w:panose1 w:val="02020603050405020304"/>
    <w:charset w:val="7a"/>
    <w:family w:val="auto"/>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宋体">
    <w:panose1 w:val="02010600030101010101"/>
    <w:charset w:val="7a"/>
    <w:family w:val="auto"/>
    <w:pitch w:val="default"/>
    <w:sig w:usb0="00000203" w:usb1="288F0000" w:usb2="00000006" w:usb3="00000000" w:csb0="0004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宋体">
    <w:panose1 w:val="02010600030101010101"/>
    <w:charset w:val="50"/>
    <w:family w:val="auto"/>
    <w:pitch w:val="default"/>
    <w:sig w:usb0="00000203" w:usb1="288F0000" w:usb2="0000000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o="urn:schemas-microsoft-com:office:office" xmlns:v="urn:schemas-microsoft-com:vml" xmlns:w="http://schemas.openxmlformats.org/wordprocessingml/2006/main" xmlns:w10="urn:schemas-microsoft-com:office:word" xmlns:r="http://schemas.openxmlformats.org/officeDocument/2006/relationships">
  <w:p>
    <w:pPr>
      <w:pStyle w:val="Footer"/>
      <w:tabs>
        <w:tab w:val="clear" w:pos="4153"/>
        <w:tab w:val="clear" w:pos="8306"/>
      </w:tabs>
      <w:framePr w:wrap="around" w:hAnchor="margin" w:vAnchor="text" w:xAlign="outside" w:y="1"/>
    </w:pPr>
    <w:r>
      <w:fldChar w:fldCharType="begin"/>
    </w:r>
    <w:r>
      <w:rPr>
        <w:rStyle w:val="PageNumber"/>
      </w:rPr>
      <w:instrText xml:space="preserve">PAGE  </w:instrText>
    </w:r>
    <w:r>
      <w:fldChar w:fldCharType="separate"/>
    </w:r>
    <w:r>
      <w:fldChar w:fldCharType="end"/>
    </w:r>
    <w:r>
      <w:rPr>
        <w:rStyle w:val="PageNumber"/>
      </w:rPr>
    </w:r>
  </w:p>
  <w:p>
    <w:pPr>
      <w:pStyle w:val="Footer"/>
      <w:tabs>
        <w:tab w:val="clear" w:pos="4153"/>
        <w:tab w:val="clear" w:pos="8306"/>
      </w:tabs>
      <w:ind w:firstLine="360" w:right="360"/>
    </w:pPr>
    <w:r/>
  </w:p>
</w:ftr>
</file>

<file path=word/footer2.xml><?xml version="1.0" encoding="utf-8"?>
<w:ftr xmlns:wp="http://schemas.openxmlformats.org/drawingml/2006/wordprocessingDrawing" xmlns:w="http://schemas.openxmlformats.org/wordprocessingml/2006/main" xmlns:o="urn:schemas-microsoft-com:office:office" xmlns:v="urn:schemas-microsoft-com:vml" xmlns:w10="urn:schemas-microsoft-com:office:word" xmlns:wps="http://schemas.microsoft.com/office/word/2010/wordprocessingShape" xmlns:r="http://schemas.openxmlformats.org/officeDocument/2006/relationships">
  <w:p>
    <w:pPr>
      <w:pStyle w:val="Footer"/>
      <w:tabs>
        <w:tab w:val="clear" w:pos="4153"/>
        <w:tab w:val="clear" w:pos="8306"/>
      </w:tabs>
      <w:ind w:firstLine="360" w:right="360"/>
      <w:rPr>
        <w:sz w:val="24"/>
      </w:rPr>
    </w:pPr>
    <w:r>
      <w:rPr>
        <w:sz w:val="24"/>
      </w:rPr>
      <w:drawing>
        <wp:anchor distT="0" distB="0" distL="0" distR="0" relativeHeight="252184576" behindDoc="0" allowOverlap="1" locked="0" layoutInCell="1" simplePos="0">
          <wp:simplePos x="0" y="0"/>
          <wp:positionH relativeFrom="margin">
            <wp:align>center</wp:align>
          </wp:positionH>
          <wp:positionV relativeFrom="paragraph">
            <wp:posOffset>0</wp:posOffset>
          </wp:positionV>
          <wp:extent cx="1828800" cy="1828800"/>
          <wp:wrapNone/>
          <wp:docPr id="1" name="_x0000_s2051"/>
          <a:graphic xmlns:a="http://schemas.openxmlformats.org/drawingml/2006/main">
            <a:graphicData uri="http://schemas.microsoft.com/office/word/2010/wordprocessingShape">
              <wps:wsp>
                <wps:cNvSpPr/>
                <wps:spPr>
                  <a:xfrm>
                    <a:off x="0" y="0"/>
                    <a:ext cx="1828800" cy="1828800"/>
                  </a:xfrm>
                  <a:prstGeom prst="rect">
                    <a:avLst/>
                  </a:prstGeom>
                </wps:spPr>
                <wps:txbx style="mso-fit-shape-to-text:t;" inset="0pt,0pt,0pt,0pt">
                  <w:txbxContent>
                    <w:p>
                      <w:pPr>
                        <w:pStyle w:val="Footer"/>
                        <w:tabs>
                          <w:tab w:val="clear" w:pos="4153"/>
                          <w:tab w:val="clear" w:pos="8306"/>
                        </w:tabs>
                        <w:rPr>
                          <w:sz w:val="28"/>
                          <w:lang w:eastAsia="zh-CN"/>
                          <w:szCs w:val="28"/>
                          <w:rFonts w:ascii="仿宋_GB2312" w:hAnsi="仿宋_GB2312" w:eastAsia="仿宋_GB2312" w:hint="eastAsia"/>
                        </w:rPr>
                      </w:pPr>
                      <w:r>
                        <w:rPr>
                          <w:sz w:val="28"/>
                          <w:lang w:eastAsia="zh-CN"/>
                          <w:szCs w:val="28"/>
                          <w:rFonts w:ascii="仿宋_GB2312" w:hAnsi="仿宋_GB2312" w:eastAsia="仿宋_GB2312" w:hint="eastAsia"/>
                        </w:rPr>
                        <w:t xml:space="preserve">—</w:t>
                      </w:r>
                      <w:r>
                        <w:rPr>
                          <w:sz w:val="28"/>
                          <w:lang w:val="en-US" w:eastAsia="zh-CN"/>
                          <w:szCs w:val="28"/>
                          <w:rFonts w:ascii="仿宋_GB2312" w:hAnsi="仿宋_GB2312" w:eastAsia="仿宋_GB2312" w:hint="eastAsia"/>
                        </w:rPr>
                        <w:t xml:space="preserve"> </w:t>
                      </w:r>
                      <w:r>
                        <w:rPr>
                          <w:sz w:val="28"/>
                          <w:lang w:eastAsia="zh-CN"/>
                          <w:szCs w:val="28"/>
                          <w:rFonts w:ascii="仿宋_GB2312" w:hAnsi="仿宋_GB2312" w:eastAsia="仿宋_GB2312" w:hint="eastAsia"/>
                        </w:rPr>
                        <w:fldChar w:fldCharType="begin"/>
                      </w:r>
                      <w:r>
                        <w:rPr>
                          <w:sz w:val="28"/>
                          <w:lang w:eastAsia="zh-CN"/>
                          <w:szCs w:val="28"/>
                          <w:rFonts w:ascii="仿宋_GB2312" w:hAnsi="仿宋_GB2312" w:eastAsia="仿宋_GB2312" w:hint="eastAsia"/>
                        </w:rPr>
                        <w:instrText xml:space="preserve"> PAGE  \* MERGEFORMAT </w:instrText>
                      </w:r>
                      <w:r>
                        <w:rPr>
                          <w:sz w:val="28"/>
                          <w:lang w:eastAsia="zh-CN"/>
                          <w:szCs w:val="28"/>
                          <w:rFonts w:ascii="仿宋_GB2312" w:hAnsi="仿宋_GB2312" w:eastAsia="仿宋_GB2312" w:hint="eastAsia"/>
                        </w:rPr>
                        <w:fldChar w:fldCharType="separate"/>
                      </w:r>
                      <w:r>
                        <w:rPr>
                          <w:sz w:val="28"/>
                          <w:lang w:eastAsia="zh-CN"/>
                          <w:szCs w:val="28"/>
                          <w:rFonts w:ascii="仿宋_GB2312" w:hAnsi="仿宋_GB2312" w:eastAsia="仿宋_GB2312" w:hint="eastAsia"/>
                        </w:rPr>
                        <w:t xml:space="preserve">1</w:t>
                      </w:r>
                      <w:r>
                        <w:rPr>
                          <w:sz w:val="28"/>
                          <w:lang w:eastAsia="zh-CN"/>
                          <w:szCs w:val="28"/>
                          <w:rFonts w:ascii="仿宋_GB2312" w:hAnsi="仿宋_GB2312" w:eastAsia="仿宋_GB2312" w:hint="eastAsia"/>
                        </w:rPr>
                        <w:fldChar w:fldCharType="end"/>
                      </w:r>
                      <w:r>
                        <w:rPr>
                          <w:sz w:val="28"/>
                          <w:lang w:val="en-US" w:eastAsia="zh-CN"/>
                          <w:szCs w:val="28"/>
                          <w:rFonts w:ascii="仿宋_GB2312" w:hAnsi="仿宋_GB2312" w:eastAsia="仿宋_GB2312" w:hint="eastAsia"/>
                        </w:rPr>
                        <w:t xml:space="preserve"> —</w:t>
                      </w:r>
                      <w:r>
                        <w:rPr>
                          <w:sz w:val="28"/>
                          <w:lang w:val="en-US" w:eastAsia="zh-CN"/>
                          <w:szCs w:val="28"/>
                          <w:rFonts w:ascii="仿宋_GB2312" w:hAnsi="仿宋_GB2312" w:eastAsia="仿宋_GB2312" w:hint="eastAsia"/>
                        </w:rPr>
                      </w:r>
                    </w:p>
                    <w:p>
                      <w:pPr>
                        <w:pStyle w:val="Normal"/>
                      </w:pPr>
                      <w:r/>
                    </w:p>
                  </w:txbxContent>
                </wps:txbx>
                <wps:bodyPr rot="0" vert="horz" wrap="square" lIns="91440" tIns="45720" rIns="91440" bIns="45720" anchor="t" anchorCtr="0"/>
              </wps:wsp>
            </a:graphicData>
          </a:graphic>
        </wp:anchor>
      </w:drawing>
    </w:r>
    <w:r>
      <w:rPr>
        <w:sz w:val="24"/>
        <w:rFonts w:hint="eastAsia"/>
      </w:rPr>
    </w:r>
  </w:p>
</w:ftr>
</file>

<file path=word/settings.xml><?xml version="1.0" encoding="utf-8"?>
<w:settings xmlns:w="http://schemas.openxmlformats.org/wordprocessingml/2006/main">
  <w:defaultTabStop w:val="420"/>
  <w:displayHorizontalDrawingGridEvery w:val="1"/>
  <w:displayVerticalDrawingGridEvery w:val="1"/>
  <w:zoom w:percent="100"/>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jc w:val="both"/>
      <w:widowControl w:val="off"/>
    </w:pPr>
    <w:rPr>
      <w:sz w:val="32"/>
      <w:lang w:val="en-US" w:eastAsia="zh-CN" w:bidi="ar-SA"/>
      <w:szCs w:val="24"/>
      <w:kern w:val="2"/>
      <w:rFonts w:eastAsia="仿宋_GB2312"/>
    </w:rPr>
  </w:style>
  <w:style w:type="character" w:styleId="NormalCharacter">
    <w:name w:val="默认段落字体"/>
    <w:link w:val="UserStyle_0"/>
    <w:rPr>
      <w:rFonts w:ascii="Times New Roman" w:hAnsi="Times New Roman" w:eastAsia="宋体"/>
    </w:rPr>
  </w:style>
  <w:style w:type="table" w:styleId="TableNormal">
    <w:name w:val="普通表格"/>
    <w:link w:val="Normal"/>
    <w:semiHidden/>
  </w:style>
  <w:style w:type="paragraph" w:styleId="AnnotationText">
    <w:name w:val="批注文字"/>
    <w:basedOn w:val="Normal"/>
    <w:link w:val="Normal"/>
    <w:pPr>
      <w:jc w:val="start"/>
    </w:pPr>
  </w:style>
  <w:style w:type="paragraph" w:styleId="BodyText">
    <w:name w:val="正文文本"/>
    <w:basedOn w:val="Normal"/>
    <w:link w:val="Normal"/>
    <w:rPr>
      <w:sz w:val="30"/>
      <w:rFonts w:eastAsia="方正仿宋_GBK"/>
    </w:rPr>
  </w:style>
  <w:style w:type="paragraph" w:styleId="BodyTextIndent">
    <w:name w:val="正文文本缩进"/>
    <w:basedOn w:val="Normal"/>
    <w:link w:val="Normal"/>
    <w:pPr>
      <w:spacing w:line="560" w:lineRule="exact"/>
      <w:ind w:firstLine="640" w:firstLineChars="200"/>
    </w:pPr>
    <w:rPr>
      <w:rFonts w:ascii="Times New Roman" w:hAnsi="Times New Roman" w:eastAsia="楷体_GB2312"/>
    </w:rPr>
  </w:style>
  <w:style w:type="paragraph" w:styleId="Acetate">
    <w:name w:val="批注框文本"/>
    <w:basedOn w:val="Normal"/>
    <w:link w:val="Normal"/>
    <w:rPr>
      <w:sz w:val="18"/>
      <w:szCs w:val="18"/>
    </w:rPr>
  </w:style>
  <w:style w:type="paragraph" w:styleId="Footer">
    <w:name w:val="页脚"/>
    <w:basedOn w:val="Normal"/>
    <w:link w:val="Normal"/>
    <w:pPr>
      <w:snapToGrid w:val="0"/>
      <w:jc w:val="start"/>
      <w:tabs>
        <w:tab w:val="center" w:pos="4153"/>
        <w:tab w:val="right" w:pos="8306"/>
      </w:tabs>
    </w:pPr>
    <w:rPr>
      <w:sz w:val="18"/>
      <w:szCs w:val="18"/>
    </w:rPr>
  </w:style>
  <w:style w:type="paragraph" w:styleId="Header">
    <w:name w:val="页眉"/>
    <w:basedOn w:val="Normal"/>
    <w:link w:val="Normal"/>
    <w:pPr>
      <w:snapToGrid w:val="0"/>
      <w:jc w:val="center"/>
      <w:pBdr>
        <w:bottom w:val="single" w:color="000000" w:sz="6" w:space="1"/>
      </w:pBdr>
      <w:tabs>
        <w:tab w:val="center" w:pos="4153"/>
        <w:tab w:val="right" w:pos="8306"/>
      </w:tabs>
    </w:pPr>
    <w:rPr>
      <w:sz w:val="18"/>
      <w:szCs w:val="18"/>
    </w:rPr>
  </w:style>
  <w:style w:type="paragraph" w:styleId="HtmlNormal">
    <w:name w:val="普通(网站)"/>
    <w:basedOn w:val="Normal"/>
    <w:link w:val="Normal"/>
    <w:pPr>
      <w:jc w:val="start"/>
      <w:spacing w:after="100" w:afterAutospacing="1" w:before="100" w:beforeAutospacing="1" w:lineRule="auto"/>
      <w:ind w:left="0" w:right="0"/>
    </w:pPr>
    <w:rPr>
      <w:sz w:val="24"/>
      <w:lang w:val="en-US" w:eastAsia="zh-CN" w:bidi="ar"/>
      <w:kern w:val="0"/>
    </w:rPr>
  </w:style>
  <w:style w:type="paragraph" w:styleId="BodyText1I2">
    <w:name w:val="正文首行缩进 2"/>
    <w:basedOn w:val="BodyTextIndent"/>
    <w:link w:val="Normal"/>
    <w:pPr>
      <w:spacing w:after="0" w:line="620" w:lineRule="exact"/>
      <w:ind w:firstLine="420" w:firstLineChars="200" w:left="0" w:leftChars="0"/>
    </w:pPr>
    <w:rPr>
      <w:sz w:val="32"/>
      <w:rFonts w:ascii="仿宋_GB2312" w:hAnsi="Times New Roman" w:eastAsia="仿宋_GB2312"/>
    </w:rPr>
  </w:style>
  <w:style w:type="paragraph" w:styleId="UserStyle_0">
    <w:name w:val="Char Char Char Char"/>
    <w:basedOn w:val="Normal"/>
    <w:link w:val="NormalCharacter"/>
    <w:pPr>
      <w:jc w:val="start"/>
      <w:widowControl/>
      <w:spacing w:after="160" w:line="240" w:lineRule="exact"/>
    </w:pPr>
    <w:rPr>
      <w:rFonts w:ascii="Times New Roman" w:hAnsi="Times New Roman" w:eastAsia="宋体"/>
    </w:rPr>
  </w:style>
  <w:style w:type="character" w:styleId="PageNumber">
    <w:name w:val="页码"/>
    <w:basedOn w:val="NormalCharacter"/>
    <w:link w:val="Normal"/>
  </w:style>
  <w:style w:type="character" w:styleId="Emphasis">
    <w:name w:val="强调"/>
    <w:basedOn w:val="NormalCharacter"/>
    <w:link w:val="Normal"/>
    <w:rPr>
      <w:i w:val="1"/>
    </w:rPr>
  </w:style>
  <w:style w:type="character" w:styleId="AnnotationReference">
    <w:name w:val="批注引用"/>
    <w:basedOn w:val="NormalCharacter"/>
    <w:link w:val="Normal"/>
    <w:rPr>
      <w:sz w:val="21"/>
      <w:szCs w:val="21"/>
    </w:rPr>
  </w:style>
  <w:style w:type="paragraph" w:styleId="UserStyle_1">
    <w:name w:val="样式 首行缩进:  2 字符"/>
    <w:basedOn w:val="Normal"/>
    <w:link w:val="Normal"/>
    <w:pPr>
      <w:widowControl/>
      <w:ind w:firstLine="480"/>
    </w:pPr>
    <w:rPr>
      <w:rFonts w:ascii="Arial" w:hAnsi="Arial" w:eastAsia="宋体"/>
    </w:rPr>
  </w:style>
  <w:style w:type="paragraph" w:styleId="UserStyle_2">
    <w:name w:val="★章标题"/>
    <w:basedOn w:val="Normal"/>
    <w:link w:val="Normal"/>
    <w:pPr>
      <w:jc w:val="center"/>
      <w:widowControl w:val="off"/>
      <w:outlineLvl w:val="0"/>
      <w:spacing w:after="120" w:before="120" w:line="360" w:lineRule="auto"/>
      <w:ind w:firstLine="200" w:firstLineChars="200"/>
    </w:pPr>
    <w:rPr>
      <w:b w:val="1"/>
      <w:color w:val="000000"/>
      <w:sz w:val="44"/>
      <w:szCs w:val="20"/>
      <w:kern w:val="44"/>
      <w:bCs/>
      <w:rFonts w:eastAsia="黑体"/>
    </w:rPr>
  </w:style>
</w:styles>
</file>

<file path=word/_rels/document.xml.rels><?xml version="1.0" encoding="UTF-8" standalone="yes"?><Relationships xmlns="http://schemas.openxmlformats.org/package/2006/relationships"><Relationship Id="rId4" Type="http://schemas.openxmlformats.org/officeDocument/2006/relationships/footer" Target="footer2.xml" /><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footer" Target="footer1.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