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6"/>
          <w:szCs w:val="21"/>
        </w:rPr>
      </w:pPr>
    </w:p>
    <w:p>
      <w:pPr>
        <w:pStyle w:val="2"/>
        <w:rPr>
          <w:sz w:val="36"/>
          <w:szCs w:val="21"/>
        </w:rPr>
      </w:pPr>
    </w:p>
    <w:p>
      <w:pPr>
        <w:pStyle w:val="2"/>
        <w:jc w:val="center"/>
        <w:rPr>
          <w:sz w:val="36"/>
          <w:szCs w:val="21"/>
        </w:rPr>
      </w:pPr>
      <w:r>
        <w:rPr>
          <w:rFonts w:hint="eastAsia"/>
          <w:sz w:val="36"/>
          <w:szCs w:val="21"/>
        </w:rPr>
        <w:t>《蝉茶</w:t>
      </w:r>
      <w:r>
        <w:rPr>
          <w:rFonts w:hint="eastAsia"/>
          <w:sz w:val="36"/>
          <w:szCs w:val="21"/>
          <w:lang w:eastAsia="zh-CN"/>
        </w:rPr>
        <w:t>种植</w:t>
      </w:r>
      <w:bookmarkStart w:id="2" w:name="_GoBack"/>
      <w:bookmarkEnd w:id="2"/>
      <w:r>
        <w:rPr>
          <w:rFonts w:hint="eastAsia"/>
          <w:sz w:val="36"/>
          <w:szCs w:val="21"/>
        </w:rPr>
        <w:t>技术规程》</w:t>
      </w:r>
    </w:p>
    <w:p>
      <w:pPr>
        <w:spacing w:line="360" w:lineRule="auto"/>
        <w:jc w:val="center"/>
        <w:rPr>
          <w:b/>
          <w:kern w:val="44"/>
          <w:sz w:val="36"/>
          <w:szCs w:val="21"/>
        </w:rPr>
      </w:pPr>
      <w:r>
        <w:rPr>
          <w:rFonts w:hint="eastAsia"/>
          <w:b/>
          <w:kern w:val="44"/>
          <w:sz w:val="36"/>
          <w:szCs w:val="21"/>
          <w:lang w:eastAsia="zh-CN"/>
        </w:rPr>
        <w:t>起草</w:t>
      </w:r>
      <w:r>
        <w:rPr>
          <w:rFonts w:hint="eastAsia"/>
          <w:b/>
          <w:kern w:val="44"/>
          <w:sz w:val="36"/>
          <w:szCs w:val="21"/>
        </w:rPr>
        <w:t>说明</w:t>
      </w:r>
    </w:p>
    <w:p>
      <w:pPr>
        <w:spacing w:line="360" w:lineRule="auto"/>
        <w:ind w:firstLine="720" w:firstLineChars="200"/>
        <w:jc w:val="center"/>
        <w:rPr>
          <w:b/>
          <w:kern w:val="44"/>
          <w:sz w:val="36"/>
          <w:szCs w:val="21"/>
        </w:rPr>
      </w:pPr>
    </w:p>
    <w:p>
      <w:pPr>
        <w:spacing w:line="360" w:lineRule="auto"/>
        <w:ind w:firstLine="720" w:firstLineChars="200"/>
        <w:jc w:val="center"/>
        <w:rPr>
          <w:b/>
          <w:kern w:val="44"/>
          <w:sz w:val="36"/>
          <w:szCs w:val="21"/>
        </w:rPr>
      </w:pPr>
    </w:p>
    <w:p>
      <w:pPr>
        <w:spacing w:line="360" w:lineRule="auto"/>
        <w:ind w:firstLine="560" w:firstLineChars="200"/>
        <w:jc w:val="center"/>
        <w:rPr>
          <w:rFonts w:ascii="仿宋" w:hAnsi="仿宋" w:eastAsia="仿宋" w:cs="华文仿宋"/>
          <w:sz w:val="28"/>
          <w:szCs w:val="28"/>
        </w:rPr>
      </w:pPr>
    </w:p>
    <w:p>
      <w:pPr>
        <w:spacing w:line="360" w:lineRule="auto"/>
        <w:ind w:firstLine="560" w:firstLineChars="200"/>
        <w:jc w:val="center"/>
        <w:rPr>
          <w:rFonts w:ascii="仿宋" w:hAnsi="仿宋" w:eastAsia="仿宋" w:cs="华文仿宋"/>
          <w:sz w:val="28"/>
          <w:szCs w:val="28"/>
        </w:rPr>
      </w:pPr>
    </w:p>
    <w:p>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起草单位：紫金县农业综合服务中心、华南农业大学园艺学院、紫金县茶叶协会、广东省农业科学院茶叶研究所</w:t>
      </w:r>
    </w:p>
    <w:p>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负责人：王捷才</w:t>
      </w:r>
    </w:p>
    <w:p>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联系电话：</w:t>
      </w:r>
      <w:r>
        <w:rPr>
          <w:rFonts w:ascii="仿宋" w:hAnsi="仿宋" w:eastAsia="仿宋" w:cs="华文仿宋"/>
          <w:sz w:val="28"/>
          <w:szCs w:val="28"/>
        </w:rPr>
        <w:t xml:space="preserve"> </w:t>
      </w:r>
      <w:r>
        <w:rPr>
          <w:rFonts w:hint="eastAsia" w:ascii="仿宋" w:hAnsi="仿宋" w:eastAsia="仿宋" w:cs="华文仿宋"/>
          <w:sz w:val="28"/>
          <w:szCs w:val="28"/>
        </w:rPr>
        <w:t>18927010998</w:t>
      </w:r>
      <w:r>
        <w:rPr>
          <w:rFonts w:ascii="仿宋" w:hAnsi="仿宋" w:eastAsia="仿宋" w:cs="华文仿宋"/>
          <w:sz w:val="28"/>
          <w:szCs w:val="28"/>
        </w:rPr>
        <w:t xml:space="preserve"> </w:t>
      </w:r>
      <w:r>
        <w:rPr>
          <w:rFonts w:hint="eastAsia" w:ascii="仿宋" w:hAnsi="仿宋" w:eastAsia="仿宋" w:cs="华文仿宋"/>
          <w:sz w:val="28"/>
          <w:szCs w:val="28"/>
        </w:rPr>
        <w:t xml:space="preserve"> </w:t>
      </w:r>
    </w:p>
    <w:p>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邮箱：</w:t>
      </w:r>
      <w:r>
        <w:fldChar w:fldCharType="begin"/>
      </w:r>
      <w:r>
        <w:instrText xml:space="preserve"> HYPERLINK "mailto:prcao@scau.edu.cn" </w:instrText>
      </w:r>
      <w:r>
        <w:fldChar w:fldCharType="separate"/>
      </w:r>
      <w:r>
        <w:rPr>
          <w:rFonts w:cs="华文仿宋"/>
        </w:rPr>
        <w:t>prcao@scau.edu.cn</w:t>
      </w:r>
      <w:r>
        <w:rPr>
          <w:rFonts w:cs="华文仿宋"/>
        </w:rPr>
        <w:fldChar w:fldCharType="end"/>
      </w:r>
    </w:p>
    <w:p>
      <w:pPr>
        <w:spacing w:line="360" w:lineRule="auto"/>
        <w:ind w:firstLine="560" w:firstLineChars="200"/>
        <w:jc w:val="left"/>
        <w:rPr>
          <w:rFonts w:hint="eastAsia" w:ascii="仿宋" w:hAnsi="仿宋" w:eastAsia="仿宋"/>
          <w:color w:val="000000"/>
          <w:sz w:val="28"/>
          <w:szCs w:val="28"/>
        </w:rPr>
      </w:pPr>
    </w:p>
    <w:p>
      <w:pPr>
        <w:spacing w:line="360" w:lineRule="auto"/>
        <w:ind w:firstLine="560" w:firstLineChars="200"/>
        <w:jc w:val="left"/>
        <w:rPr>
          <w:rFonts w:hint="eastAsia" w:ascii="仿宋" w:hAnsi="仿宋" w:eastAsia="仿宋"/>
          <w:color w:val="000000"/>
          <w:sz w:val="28"/>
          <w:szCs w:val="28"/>
        </w:rPr>
      </w:pPr>
    </w:p>
    <w:p>
      <w:pPr>
        <w:spacing w:line="360" w:lineRule="auto"/>
        <w:ind w:firstLine="560" w:firstLineChars="200"/>
        <w:jc w:val="left"/>
        <w:rPr>
          <w:rFonts w:hint="eastAsia" w:ascii="仿宋" w:hAnsi="仿宋" w:eastAsia="仿宋"/>
          <w:color w:val="000000"/>
          <w:sz w:val="28"/>
          <w:szCs w:val="28"/>
        </w:rPr>
      </w:pPr>
    </w:p>
    <w:p>
      <w:pPr>
        <w:spacing w:line="360" w:lineRule="auto"/>
        <w:ind w:firstLine="560" w:firstLineChars="200"/>
        <w:jc w:val="left"/>
        <w:rPr>
          <w:rFonts w:hint="eastAsia" w:ascii="仿宋" w:hAnsi="仿宋" w:eastAsia="仿宋"/>
          <w:color w:val="000000"/>
          <w:sz w:val="28"/>
          <w:szCs w:val="28"/>
        </w:rPr>
      </w:pPr>
    </w:p>
    <w:p>
      <w:pPr>
        <w:spacing w:line="360" w:lineRule="auto"/>
        <w:ind w:firstLine="560" w:firstLineChars="200"/>
        <w:jc w:val="left"/>
        <w:rPr>
          <w:rFonts w:hint="eastAsia" w:ascii="仿宋" w:hAnsi="仿宋" w:eastAsia="仿宋"/>
          <w:color w:val="000000"/>
          <w:sz w:val="28"/>
          <w:szCs w:val="28"/>
        </w:rPr>
      </w:pPr>
    </w:p>
    <w:p>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hint="eastAsia" w:ascii="仿宋" w:hAnsi="仿宋" w:eastAsia="仿宋"/>
          <w:b w:val="0"/>
          <w:bCs/>
          <w:sz w:val="28"/>
          <w:szCs w:val="28"/>
        </w:rPr>
        <w:t>制定</w:t>
      </w:r>
      <w:r>
        <w:rPr>
          <w:rFonts w:ascii="仿宋" w:hAnsi="仿宋" w:eastAsia="仿宋"/>
          <w:b w:val="0"/>
          <w:bCs/>
          <w:sz w:val="28"/>
          <w:szCs w:val="28"/>
        </w:rPr>
        <w:t>标准的背景和必要性</w:t>
      </w:r>
    </w:p>
    <w:p>
      <w:pPr>
        <w:adjustRightInd w:val="0"/>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“十三五”是我国加快改造传统农业转型升级、走中国特色农业现代化道路的关键时期，必须紧紧依靠科技进步，促进现代农业生产跨越式发展。连续多年的中央</w:t>
      </w:r>
      <w:r>
        <w:rPr>
          <w:rFonts w:ascii="仿宋" w:hAnsi="仿宋" w:eastAsia="仿宋" w:cs="华文仿宋"/>
          <w:sz w:val="28"/>
          <w:szCs w:val="28"/>
        </w:rPr>
        <w:t>1号文明确指出要发展设施农业、精准农业、精深加工、现代营销，发展农业产业化联合体，推动农业全环节升级、全链条增值。</w:t>
      </w:r>
      <w:r>
        <w:rPr>
          <w:rFonts w:hint="eastAsia" w:ascii="仿宋" w:hAnsi="仿宋" w:eastAsia="仿宋" w:cs="华文仿宋"/>
          <w:sz w:val="28"/>
          <w:szCs w:val="28"/>
        </w:rPr>
        <w:t>2017年中央一号文件提出“推进区域农产品公用品牌建设”，农业部将2017年确定为农业品牌推进年。2018年中央一号文件又进一步在实施乡村振兴战略中强调指出“实施质量兴农战略…深入推进农业绿色化、优质化、特色化、品牌化，调整优化农业生产力布局，推动农业由增产导向转向提质导向。推进特色农产品优势区创建…培育农产品品牌，保护地理标志农产品”。</w:t>
      </w:r>
      <w:r>
        <w:rPr>
          <w:rFonts w:ascii="仿宋" w:hAnsi="仿宋" w:eastAsia="仿宋" w:cs="华文仿宋"/>
          <w:sz w:val="28"/>
          <w:szCs w:val="28"/>
        </w:rPr>
        <w:t>十九大报告指出，农业农村农民问题是关系国计民生的根本性问题，必须始终把解决好“三农”问题作为全党工作的重中之重。</w:t>
      </w:r>
      <w:r>
        <w:rPr>
          <w:rFonts w:hint="eastAsia" w:ascii="仿宋" w:hAnsi="仿宋" w:eastAsia="仿宋" w:cs="华文仿宋"/>
          <w:sz w:val="28"/>
          <w:szCs w:val="28"/>
        </w:rPr>
        <w:t>茶在我国的发展已经取得了巨大的成就。习近平总书记曾高度赞扬“一片叶子富裕了一方百姓”。十八大以来，茶叶已经成为了践行“绿水青山就是金山银山”、美丽乡村、乡村振兴、精准扶贫等国家发展三农和满足日益增长的精神文明追求的重要抓手和举措。为贯彻中央精神和发扬广东特色，广东省在2018年“关于推进乡村振兴战略的实施意见”，核心思想是通过发展特色农业产业，做大做强农产品区域品牌建设，提升农产品供给质量和品牌竞争力。</w:t>
      </w:r>
    </w:p>
    <w:p>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紫金是中国蝉茶之乡、中国茶业百强县、特色魅力茶乡。近年来，依托粤港澳大湾区战略规划实施以及市委市政府推进“示范区”“排头兵”建设契机，全力贯彻实施县委县政府“紫金蝉茶”品牌建设“五个一”工程，通过“扩规模、提品质、强品牌、融文旅、增效益”，辐射带动全县各镇融合发展，全县茶叶种植面积由2015年的1.8万亩增加到目前的8.3万亩，“紫金蝉茶”品牌影响力不断提升，相继被评为“全国乡村特色产品”、粤字号“优秀品牌”、粤港澳大湾区最受消费者喜爱区域公共品牌、首届中国斗茶大赛区域品牌金奖。</w:t>
      </w:r>
    </w:p>
    <w:p>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近三年累计获得“世界红茶大赛”“首届中国蝉茶大赛”“中茶杯”“国饮杯”“亚太茗茶”特等奖（茶王）、金奖等荣誉201项，——其中2022年获奖茶样共72款，刷新获奖纪录。</w:t>
      </w:r>
    </w:p>
    <w:p>
      <w:pPr>
        <w:spacing w:line="6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2023年，紫金县茶叶种植面积8万亩，总产量达4000吨，产值超16亿元，全县113个行政村参与种植茶叶，带动农村就业2万余人，户均年增收近万元。为进一步拓宽茶叶交易渠道、提升茶叶品质，中国蝉茶（紫金）交易中心于2023年11月投入运营；在紫城、龙窝、南岭等茶产业发展重点镇建设了3家标准化大型茶叶加工厂。我县茶产业实现了从小到大、从弱到强的转变，成为富民兴村第一产业。</w:t>
      </w:r>
    </w:p>
    <w:p>
      <w:pPr>
        <w:adjustRightInd w:val="0"/>
        <w:snapToGrid w:val="0"/>
        <w:spacing w:line="360" w:lineRule="auto"/>
        <w:ind w:firstLine="420" w:firstLineChars="150"/>
        <w:jc w:val="left"/>
        <w:rPr>
          <w:rFonts w:hint="eastAsia" w:ascii="仿宋" w:hAnsi="仿宋" w:eastAsia="仿宋" w:cs="华文仿宋"/>
          <w:sz w:val="28"/>
          <w:szCs w:val="28"/>
        </w:rPr>
      </w:pPr>
      <w:r>
        <w:rPr>
          <w:rFonts w:hint="eastAsia" w:ascii="仿宋" w:hAnsi="仿宋" w:eastAsia="仿宋" w:cs="华文仿宋"/>
          <w:sz w:val="28"/>
          <w:szCs w:val="28"/>
        </w:rPr>
        <w:t>近年来，在地方政府和茶企的推动下，紫金蝉茶得到了迅速发展，已成为广东茶叶生产发展的新热点，其品质特征逐步为茶叶界和消费者认可，形成了区别于普通茶类具有蝉茶风味品质特点的特殊茶类品种，有异军突起之势，在广东省众多的区域茶品牌中独树一帜，具有不可替代的位置，目前已发展成继凤凰单丛茶，英德红茶，客家炒绿之后的广东第四大区域品牌，产业规模不断大，市场潜力大。因此，发展紫金蝉茶茶产业对山区地区人民的脱贫致富具有积极的作用。</w:t>
      </w:r>
    </w:p>
    <w:p>
      <w:pPr>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茶叶品质特征的形成决取决于茶树品种、环境条件以及栽培技术，因此，在提高紫金蝉茶产量又保持其独特的</w:t>
      </w:r>
      <w:r>
        <w:rPr>
          <w:rFonts w:ascii="仿宋" w:hAnsi="仿宋" w:eastAsia="仿宋" w:cs="华文仿宋"/>
          <w:sz w:val="28"/>
          <w:szCs w:val="28"/>
        </w:rPr>
        <w:t>天然的蜜香</w:t>
      </w:r>
      <w:r>
        <w:rPr>
          <w:rFonts w:hint="eastAsia" w:ascii="仿宋" w:hAnsi="仿宋" w:eastAsia="仿宋" w:cs="华文仿宋"/>
          <w:sz w:val="28"/>
          <w:szCs w:val="28"/>
        </w:rPr>
        <w:t>，茶汤蜜香浓郁、喉韵回甘品质特征的前提下，选择什么茶树品种、什么生长环境以及怎样的栽培技术是目前紫金蝉茶健康发展中的当务之急，必须有相应的栽培技术规程，但目前仍未有适应紫金蝉茶的栽培技术规程可以作为企业技术指导的标准，特别是近年来，在紫金县委和政府的大力推动下，茶园面积发展快，紫金蝉茶的产量虽然不断提高，但并不能稳定保持紫金蝉茶的</w:t>
      </w:r>
      <w:r>
        <w:rPr>
          <w:rFonts w:ascii="仿宋" w:hAnsi="仿宋" w:eastAsia="仿宋" w:cs="华文仿宋"/>
          <w:sz w:val="28"/>
          <w:szCs w:val="28"/>
        </w:rPr>
        <w:t>蜜香蜜</w:t>
      </w:r>
      <w:r>
        <w:rPr>
          <w:rFonts w:hint="eastAsia" w:ascii="仿宋" w:hAnsi="仿宋" w:eastAsia="仿宋" w:cs="华文仿宋"/>
          <w:sz w:val="28"/>
          <w:szCs w:val="28"/>
        </w:rPr>
        <w:t>味的风味。目前仍存在茶叶企业生产力水平普遍较低，高产优质栽培技术以及生态防治标准化水平低，茶叶安全存在隐患，影响了紫金蝉茶的健康发展，因此，制订本技术规程是广大茶企的迫切要求。</w:t>
      </w:r>
    </w:p>
    <w:p>
      <w:pPr>
        <w:snapToGrid w:val="0"/>
        <w:spacing w:line="360" w:lineRule="auto"/>
        <w:ind w:firstLine="560" w:firstLineChars="200"/>
        <w:rPr>
          <w:rFonts w:hint="eastAsia" w:ascii="仿宋" w:hAnsi="仿宋" w:eastAsia="仿宋" w:cs="华文仿宋"/>
          <w:sz w:val="28"/>
          <w:szCs w:val="28"/>
        </w:rPr>
      </w:pPr>
      <w:r>
        <w:rPr>
          <w:rFonts w:hint="eastAsia" w:ascii="仿宋" w:hAnsi="仿宋" w:eastAsia="仿宋" w:cs="华文仿宋"/>
          <w:sz w:val="28"/>
          <w:szCs w:val="28"/>
        </w:rPr>
        <w:t>为促进紫金蝉茶的快速发展，规范紫金蝉茶栽培技术与品质标准，达到标准化生产与品牌建设的目的，提高紫金蝉茶产品质量，提升紫金蝉茶产业的影响力，把紫金蝉茶打造成全国乃至世界有影响力的特色茶叶品牌，强化经营者的自律意识，营造有序、公平的市场环境，提高茶行业经济效益，促进广东省茶行业的快速发展，规范紫金蝉茶生产行业，为产业实现了快速发展。根据市委1310工作部署，将使紫金蝉茶在我市得到更好更规范的发展，带动产业高质量发展。编制并实施紫金蝉茶栽培技术规程具有特别重要的意义。</w:t>
      </w:r>
    </w:p>
    <w:p>
      <w:pPr>
        <w:snapToGrid w:val="0"/>
        <w:spacing w:line="360" w:lineRule="auto"/>
        <w:ind w:firstLine="840" w:firstLineChars="300"/>
        <w:rPr>
          <w:rFonts w:hint="eastAsia" w:ascii="仿宋" w:hAnsi="仿宋" w:eastAsia="仿宋" w:cs="华文仿宋"/>
          <w:sz w:val="28"/>
          <w:szCs w:val="28"/>
        </w:rPr>
      </w:pPr>
    </w:p>
    <w:p>
      <w:pPr>
        <w:pStyle w:val="3"/>
        <w:spacing w:before="156" w:beforeLines="50" w:after="156" w:afterLines="50" w:line="360" w:lineRule="auto"/>
        <w:ind w:left="0" w:firstLine="0"/>
        <w:jc w:val="left"/>
        <w:rPr>
          <w:rFonts w:hint="eastAsia" w:ascii="仿宋" w:hAnsi="仿宋" w:eastAsia="仿宋" w:cs="华文仿宋"/>
          <w:b w:val="0"/>
          <w:sz w:val="28"/>
          <w:szCs w:val="28"/>
        </w:rPr>
      </w:pPr>
      <w:r>
        <w:rPr>
          <w:rFonts w:hint="eastAsia" w:ascii="仿宋" w:hAnsi="仿宋" w:eastAsia="仿宋" w:cs="仿宋_GB2312"/>
          <w:b w:val="0"/>
          <w:sz w:val="28"/>
          <w:szCs w:val="28"/>
        </w:rPr>
        <w:t>1.1</w:t>
      </w:r>
      <w:r>
        <w:rPr>
          <w:rFonts w:hint="eastAsia" w:ascii="仿宋" w:hAnsi="仿宋" w:eastAsia="仿宋" w:cs="华文仿宋"/>
          <w:b w:val="0"/>
          <w:sz w:val="28"/>
          <w:szCs w:val="28"/>
        </w:rPr>
        <w:t>任务来源</w:t>
      </w:r>
    </w:p>
    <w:p>
      <w:pPr>
        <w:spacing w:line="500" w:lineRule="exact"/>
        <w:ind w:firstLine="560" w:firstLineChars="200"/>
        <w:rPr>
          <w:rFonts w:hint="eastAsia" w:ascii="仿宋" w:hAnsi="仿宋" w:eastAsia="仿宋" w:cs="华文仿宋"/>
          <w:sz w:val="28"/>
          <w:szCs w:val="28"/>
        </w:rPr>
      </w:pPr>
      <w:r>
        <w:rPr>
          <w:rFonts w:hint="eastAsia" w:ascii="仿宋" w:hAnsi="仿宋" w:eastAsia="仿宋" w:cs="华文仿宋"/>
          <w:sz w:val="28"/>
          <w:szCs w:val="28"/>
        </w:rPr>
        <w:t>百校联百县助力“百县千镇万村高质量发展工程”行动项目</w:t>
      </w:r>
    </w:p>
    <w:p>
      <w:pPr>
        <w:pStyle w:val="3"/>
        <w:spacing w:before="156" w:beforeLines="50" w:after="156" w:afterLines="50" w:line="360" w:lineRule="auto"/>
        <w:ind w:left="0" w:firstLine="0"/>
        <w:jc w:val="left"/>
        <w:rPr>
          <w:rFonts w:hint="eastAsia" w:ascii="仿宋" w:hAnsi="仿宋" w:eastAsia="仿宋"/>
          <w:b w:val="0"/>
          <w:color w:val="000000"/>
          <w:kern w:val="0"/>
          <w:sz w:val="28"/>
          <w:szCs w:val="28"/>
        </w:rPr>
      </w:pPr>
      <w:r>
        <w:rPr>
          <w:rFonts w:hint="eastAsia" w:ascii="仿宋" w:hAnsi="仿宋" w:eastAsia="仿宋"/>
          <w:b w:val="0"/>
          <w:color w:val="000000"/>
          <w:kern w:val="0"/>
          <w:sz w:val="28"/>
          <w:szCs w:val="28"/>
        </w:rPr>
        <w:t>1.2标准起草单位</w:t>
      </w:r>
    </w:p>
    <w:p>
      <w:pPr>
        <w:spacing w:line="360" w:lineRule="auto"/>
        <w:ind w:firstLine="560" w:firstLineChars="200"/>
        <w:jc w:val="left"/>
        <w:rPr>
          <w:rFonts w:hint="eastAsia" w:ascii="仿宋" w:hAnsi="仿宋" w:eastAsia="仿宋" w:cs="华文仿宋"/>
          <w:sz w:val="28"/>
          <w:szCs w:val="28"/>
        </w:rPr>
      </w:pPr>
      <w:r>
        <w:rPr>
          <w:rFonts w:hint="eastAsia" w:ascii="仿宋" w:hAnsi="仿宋" w:eastAsia="仿宋" w:cs="华文仿宋"/>
          <w:sz w:val="28"/>
          <w:szCs w:val="28"/>
        </w:rPr>
        <w:t>紫金县农业综合服务中心、华南农业大学园艺学院、紫金县茶叶协会、广东省农业科学院茶叶研究所</w:t>
      </w:r>
    </w:p>
    <w:p>
      <w:pPr>
        <w:pStyle w:val="3"/>
        <w:spacing w:before="156" w:beforeLines="50" w:after="156" w:afterLines="50" w:line="360" w:lineRule="auto"/>
        <w:ind w:left="0" w:firstLine="0"/>
        <w:jc w:val="left"/>
        <w:rPr>
          <w:rFonts w:hint="eastAsia" w:ascii="仿宋" w:hAnsi="仿宋" w:eastAsia="仿宋" w:cs="仿宋_GB2312"/>
          <w:b w:val="0"/>
          <w:color w:val="000000"/>
          <w:sz w:val="28"/>
          <w:szCs w:val="28"/>
        </w:rPr>
      </w:pPr>
      <w:r>
        <w:rPr>
          <w:rFonts w:hint="eastAsia" w:ascii="仿宋" w:hAnsi="仿宋" w:eastAsia="仿宋" w:cs="仿宋_GB2312"/>
          <w:b w:val="0"/>
          <w:sz w:val="28"/>
          <w:szCs w:val="28"/>
        </w:rPr>
        <w:t>1.3</w:t>
      </w:r>
      <w:r>
        <w:rPr>
          <w:rFonts w:hint="eastAsia" w:ascii="仿宋" w:hAnsi="仿宋" w:eastAsia="仿宋" w:cs="仿宋_GB2312"/>
          <w:b w:val="0"/>
          <w:color w:val="000000"/>
          <w:sz w:val="28"/>
          <w:szCs w:val="28"/>
        </w:rPr>
        <w:t>标准主要起草人</w:t>
      </w:r>
    </w:p>
    <w:p>
      <w:pPr>
        <w:widowControl/>
        <w:autoSpaceDE w:val="0"/>
        <w:autoSpaceDN w:val="0"/>
        <w:spacing w:line="360" w:lineRule="exact"/>
        <w:ind w:firstLine="560" w:firstLineChars="200"/>
        <w:rPr>
          <w:rFonts w:hint="eastAsia" w:ascii="仿宋" w:hAnsi="仿宋" w:eastAsia="仿宋" w:cs="仿宋_GB2312"/>
          <w:color w:val="000000"/>
          <w:sz w:val="28"/>
          <w:szCs w:val="28"/>
        </w:rPr>
      </w:pPr>
      <w:bookmarkStart w:id="0" w:name="_Hlk120735007"/>
      <w:r>
        <w:rPr>
          <w:rFonts w:hint="eastAsia" w:ascii="仿宋" w:hAnsi="仿宋" w:eastAsia="仿宋" w:cs="仿宋_GB2312"/>
          <w:color w:val="000000"/>
          <w:sz w:val="28"/>
          <w:szCs w:val="28"/>
        </w:rPr>
        <w:t>王捷才、曹藩荣</w:t>
      </w:r>
      <w:bookmarkStart w:id="1" w:name="_Hlk178154117"/>
      <w:r>
        <w:rPr>
          <w:rFonts w:hint="eastAsia" w:ascii="仿宋" w:hAnsi="仿宋" w:eastAsia="仿宋" w:cs="仿宋_GB2312"/>
          <w:color w:val="000000"/>
          <w:sz w:val="28"/>
          <w:szCs w:val="28"/>
        </w:rPr>
        <w:t>、</w:t>
      </w:r>
      <w:bookmarkEnd w:id="1"/>
      <w:r>
        <w:rPr>
          <w:rFonts w:hint="eastAsia" w:ascii="仿宋" w:hAnsi="仿宋" w:eastAsia="仿宋" w:cs="仿宋_GB2312"/>
          <w:color w:val="000000"/>
          <w:sz w:val="28"/>
          <w:szCs w:val="28"/>
        </w:rPr>
        <w:t>凌彩金、李丹、李伟志、刘宇锋、温巧君、杨志豪、谢崎维、周巧仪</w:t>
      </w:r>
    </w:p>
    <w:bookmarkEnd w:id="0"/>
    <w:p>
      <w:pPr>
        <w:pStyle w:val="3"/>
        <w:spacing w:before="156" w:beforeLines="50" w:after="156" w:afterLines="50" w:line="360" w:lineRule="auto"/>
        <w:ind w:left="0" w:firstLine="0"/>
        <w:jc w:val="left"/>
        <w:rPr>
          <w:rFonts w:hint="eastAsia" w:ascii="仿宋" w:hAnsi="仿宋" w:eastAsia="仿宋" w:cs="仿宋_GB2312"/>
          <w:b w:val="0"/>
          <w:sz w:val="28"/>
          <w:szCs w:val="28"/>
        </w:rPr>
      </w:pPr>
      <w:r>
        <w:rPr>
          <w:rFonts w:hint="eastAsia" w:ascii="仿宋" w:hAnsi="仿宋" w:eastAsia="仿宋" w:cs="仿宋_GB2312"/>
          <w:sz w:val="28"/>
          <w:szCs w:val="28"/>
        </w:rPr>
        <w:t>1.4</w:t>
      </w:r>
      <w:r>
        <w:rPr>
          <w:rFonts w:hint="eastAsia" w:ascii="仿宋" w:hAnsi="仿宋" w:eastAsia="仿宋" w:cs="仿宋_GB2312"/>
          <w:b w:val="0"/>
          <w:sz w:val="28"/>
          <w:szCs w:val="28"/>
        </w:rPr>
        <w:t>主要工作过程</w:t>
      </w:r>
    </w:p>
    <w:p>
      <w:pPr>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 xml:space="preserve">紫金县农业综合服务中心接到立项通知后，联合华南农业大学园艺学院、紫金县茶叶协会、广东省农业科学院茶叶研究所用紫金一些茶叶生产企业等单位组成的标准编制组，讨论制定了工作方案和技术路线。主要工作过程如下： </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1、实施进度：</w:t>
      </w:r>
    </w:p>
    <w:p>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sz w:val="28"/>
          <w:szCs w:val="28"/>
        </w:rPr>
        <w:fldChar w:fldCharType="begin"/>
      </w:r>
      <w:r>
        <w:rPr>
          <w:rFonts w:hint="eastAsia" w:ascii="仿宋" w:hAnsi="仿宋" w:eastAsia="仿宋" w:cs="仿宋_GB2312"/>
          <w:sz w:val="28"/>
          <w:szCs w:val="28"/>
        </w:rPr>
        <w:instrText xml:space="preserve"> = 1 \* GB2 </w:instrText>
      </w:r>
      <w:r>
        <w:rPr>
          <w:rFonts w:hint="eastAsia" w:ascii="仿宋" w:hAnsi="仿宋" w:eastAsia="仿宋" w:cs="仿宋_GB2312"/>
          <w:sz w:val="28"/>
          <w:szCs w:val="28"/>
        </w:rPr>
        <w:fldChar w:fldCharType="separate"/>
      </w:r>
      <w:r>
        <w:rPr>
          <w:rFonts w:hint="eastAsia" w:ascii="仿宋" w:hAnsi="仿宋" w:eastAsia="仿宋" w:cs="仿宋_GB2312"/>
          <w:sz w:val="28"/>
          <w:szCs w:val="28"/>
        </w:rPr>
        <w:t>⑴</w:t>
      </w:r>
      <w:r>
        <w:rPr>
          <w:rFonts w:hint="eastAsia" w:ascii="仿宋" w:hAnsi="仿宋" w:eastAsia="仿宋" w:cs="仿宋_GB2312"/>
          <w:sz w:val="28"/>
          <w:szCs w:val="28"/>
        </w:rPr>
        <w:fldChar w:fldCharType="end"/>
      </w:r>
      <w:r>
        <w:rPr>
          <w:rFonts w:hint="eastAsia" w:ascii="仿宋" w:hAnsi="仿宋" w:eastAsia="仿宋" w:cs="仿宋_GB2312"/>
          <w:color w:val="000000"/>
          <w:sz w:val="28"/>
          <w:szCs w:val="28"/>
        </w:rPr>
        <w:t>2024年3-5月</w:t>
      </w:r>
    </w:p>
    <w:p>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调研：收集国内茶树栽培绿茶标准和相关研究成果；</w:t>
      </w:r>
    </w:p>
    <w:p>
      <w:pPr>
        <w:widowControl/>
        <w:spacing w:line="360" w:lineRule="auto"/>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调研：</w:t>
      </w:r>
      <w:r>
        <w:rPr>
          <w:rFonts w:ascii="仿宋" w:hAnsi="仿宋" w:eastAsia="仿宋" w:cs="仿宋_GB2312"/>
          <w:color w:val="000000"/>
          <w:sz w:val="28"/>
          <w:szCs w:val="28"/>
        </w:rPr>
        <w:t>开展</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产地环境，栽培管理措施包括生产环境、土壤管理和施肥、病虫害防治、茶树修剪等，茶树品种以及鲜叶采摘技术、茶叶追溯管理体系的建立等方面的调研，分析不同地区的共性。</w:t>
      </w:r>
    </w:p>
    <w:p>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fldChar w:fldCharType="begin"/>
      </w:r>
      <w:r>
        <w:rPr>
          <w:rFonts w:hint="eastAsia" w:ascii="仿宋" w:hAnsi="仿宋" w:eastAsia="仿宋" w:cs="仿宋_GB2312"/>
          <w:color w:val="000000"/>
          <w:sz w:val="28"/>
          <w:szCs w:val="28"/>
        </w:rPr>
        <w:instrText xml:space="preserve"> = 2 \* GB2 </w:instrText>
      </w:r>
      <w:r>
        <w:rPr>
          <w:rFonts w:hint="eastAsia" w:ascii="仿宋" w:hAnsi="仿宋" w:eastAsia="仿宋" w:cs="仿宋_GB2312"/>
          <w:color w:val="000000"/>
          <w:sz w:val="28"/>
          <w:szCs w:val="28"/>
        </w:rPr>
        <w:fldChar w:fldCharType="separate"/>
      </w:r>
      <w:r>
        <w:rPr>
          <w:rFonts w:hint="eastAsia" w:ascii="仿宋" w:hAnsi="仿宋" w:eastAsia="仿宋" w:cs="仿宋_GB2312"/>
          <w:color w:val="000000"/>
          <w:sz w:val="28"/>
          <w:szCs w:val="28"/>
        </w:rPr>
        <w:t>⑵</w:t>
      </w:r>
      <w:r>
        <w:rPr>
          <w:rFonts w:hint="eastAsia" w:ascii="仿宋" w:hAnsi="仿宋" w:eastAsia="仿宋" w:cs="仿宋_GB2312"/>
          <w:color w:val="000000"/>
          <w:sz w:val="28"/>
          <w:szCs w:val="28"/>
        </w:rPr>
        <w:fldChar w:fldCharType="end"/>
      </w:r>
      <w:r>
        <w:rPr>
          <w:rFonts w:hint="eastAsia" w:ascii="仿宋" w:hAnsi="仿宋" w:eastAsia="仿宋" w:cs="仿宋_GB2312"/>
          <w:color w:val="000000"/>
          <w:sz w:val="28"/>
          <w:szCs w:val="28"/>
        </w:rPr>
        <w:t>2024年6月-7月</w:t>
      </w:r>
    </w:p>
    <w:p>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比较不同地区</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茶园建设要求，品种与</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风味的关系；分析具有代表</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风味栽培技术对茶的理化成分影响，根据理化指标确定栽培技术要求。</w:t>
      </w:r>
      <w:r>
        <w:rPr>
          <w:rFonts w:hint="eastAsia" w:ascii="仿宋" w:hAnsi="仿宋" w:eastAsia="仿宋" w:cs="仿宋_GB2312"/>
          <w:color w:val="000000"/>
          <w:sz w:val="28"/>
          <w:szCs w:val="28"/>
        </w:rPr>
        <w:t>通过国内外标准的分析，提出各项参数的数据，在省内相应地区生产该产品企业中进行规范化示范。</w:t>
      </w:r>
    </w:p>
    <w:p>
      <w:pPr>
        <w:widowControl/>
        <w:spacing w:line="360" w:lineRule="auto"/>
        <w:ind w:firstLine="560" w:firstLineChars="200"/>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2024年8月，在华南农业大学召开标准制定工作推进会议，进一步完善分工和合作工作制度，同时针对标准中紫金蝉茶栽培的术语和定义、基地选择、建园规划、品种与种苗选择、种植、树冠管理、水分管理、土壤管理、施肥、防治方法、主要害虫、主要病害、鲜叶采摘、生产记录等技术参数进行了反复比较、讨论，形成具体的可行的制标方案。</w:t>
      </w:r>
    </w:p>
    <w:p>
      <w:pPr>
        <w:widowControl/>
        <w:spacing w:line="360" w:lineRule="auto"/>
        <w:rPr>
          <w:rFonts w:ascii="仿宋" w:hAnsi="仿宋" w:eastAsia="仿宋" w:cs="仿宋_GB2312"/>
          <w:color w:val="000000"/>
          <w:sz w:val="28"/>
          <w:szCs w:val="28"/>
        </w:rPr>
      </w:pPr>
      <w:r>
        <w:rPr>
          <w:rFonts w:ascii="仿宋" w:hAnsi="仿宋" w:eastAsia="仿宋" w:cs="仿宋_GB2312"/>
          <w:color w:val="000000"/>
          <w:sz w:val="28"/>
          <w:szCs w:val="28"/>
        </w:rPr>
        <w:t>（3）20</w:t>
      </w:r>
      <w:r>
        <w:rPr>
          <w:rFonts w:hint="eastAsia" w:ascii="仿宋" w:hAnsi="仿宋" w:eastAsia="仿宋" w:cs="仿宋_GB2312"/>
          <w:color w:val="000000"/>
          <w:sz w:val="28"/>
          <w:szCs w:val="28"/>
        </w:rPr>
        <w:t>24</w:t>
      </w:r>
      <w:r>
        <w:rPr>
          <w:rFonts w:ascii="仿宋" w:hAnsi="仿宋" w:eastAsia="仿宋" w:cs="仿宋_GB2312"/>
          <w:color w:val="000000"/>
          <w:sz w:val="28"/>
          <w:szCs w:val="28"/>
        </w:rPr>
        <w:t>．</w:t>
      </w:r>
      <w:r>
        <w:rPr>
          <w:rFonts w:hint="eastAsia" w:ascii="仿宋" w:hAnsi="仿宋" w:eastAsia="仿宋" w:cs="仿宋_GB2312"/>
          <w:color w:val="000000"/>
          <w:sz w:val="28"/>
          <w:szCs w:val="28"/>
        </w:rPr>
        <w:t>7</w:t>
      </w:r>
      <w:r>
        <w:rPr>
          <w:rFonts w:ascii="仿宋" w:hAnsi="仿宋" w:eastAsia="仿宋" w:cs="仿宋_GB2312"/>
          <w:color w:val="000000"/>
          <w:sz w:val="28"/>
          <w:szCs w:val="28"/>
        </w:rPr>
        <w:t>—</w:t>
      </w:r>
      <w:r>
        <w:rPr>
          <w:rFonts w:hint="eastAsia" w:ascii="仿宋" w:hAnsi="仿宋" w:eastAsia="仿宋" w:cs="仿宋_GB2312"/>
          <w:color w:val="000000"/>
          <w:sz w:val="28"/>
          <w:szCs w:val="28"/>
        </w:rPr>
        <w:t>8</w:t>
      </w:r>
      <w:r>
        <w:rPr>
          <w:rFonts w:ascii="仿宋" w:hAnsi="仿宋" w:eastAsia="仿宋" w:cs="仿宋_GB2312"/>
          <w:color w:val="000000"/>
          <w:sz w:val="28"/>
          <w:szCs w:val="28"/>
        </w:rPr>
        <w:t xml:space="preserve"> 根据</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绿茶病虫防治技术，制订开展生态防治技术体系，从而保证</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安全生的技术要求。茶园生态环境指标必须符合食品生态环境规范。筛选具有</w:t>
      </w:r>
      <w:r>
        <w:rPr>
          <w:rFonts w:hint="eastAsia" w:ascii="仿宋" w:hAnsi="仿宋" w:eastAsia="仿宋" w:cs="仿宋_GB2312"/>
          <w:color w:val="000000"/>
          <w:sz w:val="28"/>
          <w:szCs w:val="28"/>
        </w:rPr>
        <w:t>紫金蝉茶</w:t>
      </w:r>
      <w:r>
        <w:rPr>
          <w:rFonts w:ascii="仿宋" w:hAnsi="仿宋" w:eastAsia="仿宋" w:cs="仿宋_GB2312"/>
          <w:color w:val="000000"/>
          <w:sz w:val="28"/>
          <w:szCs w:val="28"/>
        </w:rPr>
        <w:t>特征的茶园作为本技术规程的示范点；</w:t>
      </w:r>
    </w:p>
    <w:p>
      <w:pPr>
        <w:widowControl/>
        <w:spacing w:line="360" w:lineRule="auto"/>
        <w:jc w:val="left"/>
        <w:rPr>
          <w:rFonts w:hint="eastAsia" w:ascii="仿宋" w:hAnsi="仿宋" w:eastAsia="仿宋" w:cs="仿宋_GB2312"/>
          <w:color w:val="000000"/>
          <w:sz w:val="28"/>
          <w:szCs w:val="28"/>
        </w:rPr>
      </w:pPr>
      <w:r>
        <w:rPr>
          <w:rFonts w:hint="eastAsia" w:ascii="仿宋" w:hAnsi="仿宋" w:eastAsia="仿宋" w:cs="仿宋_GB2312"/>
          <w:color w:val="000000"/>
          <w:sz w:val="28"/>
          <w:szCs w:val="28"/>
        </w:rPr>
        <w:t>（4）20248-9年</w:t>
      </w:r>
      <w:r>
        <w:rPr>
          <w:rFonts w:ascii="仿宋" w:hAnsi="仿宋" w:eastAsia="仿宋" w:cs="仿宋_GB2312"/>
          <w:color w:val="000000"/>
          <w:sz w:val="28"/>
          <w:szCs w:val="28"/>
        </w:rPr>
        <w:t>起草标准及广泛征求意见</w:t>
      </w:r>
    </w:p>
    <w:p>
      <w:pPr>
        <w:widowControl/>
        <w:spacing w:line="360" w:lineRule="auto"/>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9月11月在紫金县农业农村局召开标准征求意见会议，邀请紫金蝉茶种植加工企业20多家，对文本稿进行讨论，广泛征求意见，在此基础上，修改标准文本，完成标准的审定稿。</w:t>
      </w:r>
    </w:p>
    <w:p>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标准编制原则和主要内容</w:t>
      </w:r>
    </w:p>
    <w:p>
      <w:pPr>
        <w:widowControl/>
        <w:spacing w:line="360" w:lineRule="auto"/>
        <w:ind w:firstLine="560" w:firstLineChars="200"/>
        <w:jc w:val="left"/>
        <w:rPr>
          <w:rFonts w:hint="eastAsia" w:ascii="仿宋" w:hAnsi="仿宋" w:eastAsia="仿宋" w:cs="仿宋_GB2312"/>
          <w:color w:val="000000"/>
          <w:sz w:val="28"/>
          <w:szCs w:val="28"/>
        </w:rPr>
      </w:pPr>
      <w:r>
        <w:rPr>
          <w:rFonts w:ascii="仿宋" w:hAnsi="仿宋" w:eastAsia="仿宋" w:cs="仿宋_GB2312"/>
          <w:color w:val="000000"/>
          <w:sz w:val="28"/>
          <w:szCs w:val="28"/>
        </w:rPr>
        <w:t>本标准的编写制定过程中以</w:t>
      </w:r>
      <w:r>
        <w:rPr>
          <w:rFonts w:hint="eastAsia" w:ascii="仿宋" w:hAnsi="仿宋" w:eastAsia="仿宋" w:cs="仿宋_GB2312"/>
          <w:color w:val="000000"/>
          <w:sz w:val="28"/>
          <w:szCs w:val="28"/>
        </w:rPr>
        <w:t>保证技术规范与生产相适应</w:t>
      </w:r>
      <w:r>
        <w:rPr>
          <w:rFonts w:ascii="仿宋" w:hAnsi="仿宋" w:eastAsia="仿宋" w:cs="仿宋_GB2312"/>
          <w:color w:val="000000"/>
          <w:sz w:val="28"/>
          <w:szCs w:val="28"/>
        </w:rPr>
        <w:t>为总原则</w:t>
      </w:r>
      <w:r>
        <w:rPr>
          <w:rFonts w:hint="eastAsia" w:ascii="仿宋" w:hAnsi="仿宋" w:eastAsia="仿宋" w:cs="仿宋_GB2312"/>
          <w:color w:val="000000"/>
          <w:sz w:val="28"/>
          <w:szCs w:val="28"/>
        </w:rPr>
        <w:t>，</w:t>
      </w:r>
      <w:r>
        <w:rPr>
          <w:rFonts w:ascii="仿宋" w:hAnsi="仿宋" w:eastAsia="仿宋" w:cs="仿宋_GB2312"/>
          <w:color w:val="000000"/>
          <w:sz w:val="28"/>
          <w:szCs w:val="28"/>
        </w:rPr>
        <w:t>广泛征求生产、科研、教学、推广、质检等相关部门专家的意见，坚持科学性和实用性统一。</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color w:val="000000"/>
          <w:sz w:val="28"/>
          <w:szCs w:val="28"/>
        </w:rPr>
        <w:t>本标准的编写</w:t>
      </w:r>
      <w:r>
        <w:rPr>
          <w:rFonts w:ascii="仿宋" w:hAnsi="仿宋" w:eastAsia="仿宋" w:cs="仿宋_GB2312"/>
          <w:sz w:val="28"/>
          <w:szCs w:val="28"/>
        </w:rPr>
        <w:t>规则及表述按照《标准化工作导则  第1部分：标准的结构和编写规则》 （GB/T 1.1-20</w:t>
      </w:r>
      <w:r>
        <w:rPr>
          <w:rFonts w:hint="eastAsia" w:ascii="仿宋" w:hAnsi="仿宋" w:eastAsia="仿宋" w:cs="仿宋_GB2312"/>
          <w:sz w:val="28"/>
          <w:szCs w:val="28"/>
        </w:rPr>
        <w:t>20</w:t>
      </w:r>
      <w:r>
        <w:rPr>
          <w:rFonts w:ascii="仿宋" w:hAnsi="仿宋" w:eastAsia="仿宋" w:cs="仿宋_GB2312"/>
          <w:sz w:val="28"/>
          <w:szCs w:val="28"/>
        </w:rPr>
        <w:t>）的要求。</w:t>
      </w:r>
    </w:p>
    <w:p>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主要</w:t>
      </w:r>
      <w:r>
        <w:rPr>
          <w:rFonts w:hint="eastAsia" w:ascii="仿宋" w:hAnsi="仿宋" w:eastAsia="仿宋"/>
          <w:b w:val="0"/>
          <w:bCs/>
          <w:sz w:val="28"/>
          <w:szCs w:val="28"/>
        </w:rPr>
        <w:t>技术参数</w:t>
      </w:r>
    </w:p>
    <w:p>
      <w:pPr>
        <w:pStyle w:val="29"/>
        <w:ind w:firstLine="560"/>
        <w:rPr>
          <w:rFonts w:ascii="仿宋" w:hAnsi="仿宋" w:eastAsia="仿宋" w:cs="仿宋_GB2312"/>
          <w:kern w:val="2"/>
          <w:sz w:val="28"/>
          <w:szCs w:val="28"/>
        </w:rPr>
      </w:pPr>
      <w:r>
        <w:rPr>
          <w:rFonts w:ascii="仿宋" w:hAnsi="仿宋" w:eastAsia="仿宋" w:cs="仿宋_GB2312"/>
          <w:kern w:val="2"/>
          <w:sz w:val="28"/>
          <w:szCs w:val="28"/>
        </w:rPr>
        <w:t>3.1</w:t>
      </w:r>
      <w:r>
        <w:rPr>
          <w:rFonts w:hint="eastAsia" w:ascii="仿宋" w:hAnsi="仿宋" w:eastAsia="仿宋" w:cs="仿宋_GB2312"/>
          <w:kern w:val="2"/>
          <w:sz w:val="28"/>
          <w:szCs w:val="28"/>
        </w:rPr>
        <w:t>紫金蝉茶 Zijin Cicada Tea</w:t>
      </w:r>
    </w:p>
    <w:p>
      <w:pPr>
        <w:pStyle w:val="29"/>
        <w:ind w:firstLine="560"/>
        <w:rPr>
          <w:rFonts w:ascii="仿宋" w:hAnsi="仿宋" w:eastAsia="仿宋" w:cs="仿宋_GB2312"/>
          <w:kern w:val="2"/>
          <w:sz w:val="28"/>
          <w:szCs w:val="28"/>
        </w:rPr>
      </w:pPr>
      <w:r>
        <w:rPr>
          <w:rFonts w:hint="eastAsia" w:ascii="仿宋" w:hAnsi="仿宋" w:eastAsia="仿宋" w:cs="仿宋_GB2312"/>
          <w:kern w:val="2"/>
          <w:sz w:val="28"/>
          <w:szCs w:val="28"/>
        </w:rPr>
        <w:t>在广东省紫金县行政区域范围内采取茶小绿叶蝉叮咬后的鲜叶</w:t>
      </w:r>
      <w:r>
        <w:rPr>
          <w:rFonts w:ascii="仿宋" w:hAnsi="仿宋" w:eastAsia="仿宋" w:cs="仿宋_GB2312"/>
          <w:kern w:val="2"/>
          <w:sz w:val="28"/>
          <w:szCs w:val="28"/>
        </w:rPr>
        <w:t>加工而成</w:t>
      </w:r>
      <w:r>
        <w:rPr>
          <w:rFonts w:hint="eastAsia" w:ascii="仿宋" w:hAnsi="仿宋" w:eastAsia="仿宋" w:cs="仿宋_GB2312"/>
          <w:kern w:val="2"/>
          <w:sz w:val="28"/>
          <w:szCs w:val="28"/>
        </w:rPr>
        <w:t>，具有“蜜甜”特征的</w:t>
      </w:r>
      <w:r>
        <w:rPr>
          <w:rFonts w:ascii="仿宋" w:hAnsi="仿宋" w:eastAsia="仿宋" w:cs="仿宋_GB2312"/>
          <w:kern w:val="2"/>
          <w:sz w:val="28"/>
          <w:szCs w:val="28"/>
        </w:rPr>
        <w:t>茶</w:t>
      </w:r>
      <w:r>
        <w:rPr>
          <w:rFonts w:hint="eastAsia" w:ascii="仿宋" w:hAnsi="仿宋" w:eastAsia="仿宋" w:cs="仿宋_GB2312"/>
          <w:kern w:val="2"/>
          <w:sz w:val="28"/>
          <w:szCs w:val="28"/>
        </w:rPr>
        <w:t>产品</w:t>
      </w:r>
      <w:r>
        <w:rPr>
          <w:rFonts w:ascii="仿宋" w:hAnsi="仿宋" w:eastAsia="仿宋" w:cs="仿宋_GB2312"/>
          <w:kern w:val="2"/>
          <w:sz w:val="28"/>
          <w:szCs w:val="28"/>
        </w:rPr>
        <w:t>。</w:t>
      </w:r>
    </w:p>
    <w:p>
      <w:pPr>
        <w:pStyle w:val="18"/>
        <w:spacing w:before="156" w:after="156"/>
        <w:ind w:left="709"/>
        <w:rPr>
          <w:rFonts w:hint="eastAsia" w:ascii="仿宋" w:hAnsi="仿宋" w:eastAsia="仿宋" w:cs="仿宋_GB2312"/>
          <w:kern w:val="2"/>
          <w:sz w:val="28"/>
          <w:szCs w:val="28"/>
        </w:rPr>
      </w:pPr>
      <w:r>
        <w:rPr>
          <w:rFonts w:hint="eastAsia" w:ascii="仿宋" w:hAnsi="仿宋" w:eastAsia="仿宋" w:cs="仿宋_GB2312"/>
          <w:kern w:val="2"/>
          <w:sz w:val="28"/>
          <w:szCs w:val="28"/>
        </w:rPr>
        <w:t>3.2  基地选择</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对基本要求</w:t>
      </w:r>
      <w:r>
        <w:rPr>
          <w:rFonts w:hint="eastAsia" w:ascii="仿宋" w:hAnsi="仿宋" w:eastAsia="仿宋" w:cs="仿宋_GB2312"/>
          <w:sz w:val="28"/>
          <w:szCs w:val="28"/>
        </w:rPr>
        <w:t>、</w:t>
      </w:r>
      <w:r>
        <w:rPr>
          <w:rFonts w:ascii="仿宋" w:hAnsi="仿宋" w:eastAsia="仿宋" w:cs="仿宋_GB2312"/>
          <w:sz w:val="28"/>
          <w:szCs w:val="28"/>
        </w:rPr>
        <w:t>空气质量</w:t>
      </w:r>
      <w:r>
        <w:rPr>
          <w:rFonts w:hint="eastAsia" w:ascii="仿宋" w:hAnsi="仿宋" w:eastAsia="仿宋" w:cs="仿宋_GB2312"/>
          <w:sz w:val="28"/>
          <w:szCs w:val="28"/>
        </w:rPr>
        <w:t>、</w:t>
      </w:r>
      <w:r>
        <w:rPr>
          <w:rFonts w:ascii="仿宋" w:hAnsi="仿宋" w:eastAsia="仿宋" w:cs="仿宋_GB2312"/>
          <w:sz w:val="28"/>
          <w:szCs w:val="28"/>
        </w:rPr>
        <w:t>灌溉水质</w:t>
      </w:r>
      <w:r>
        <w:rPr>
          <w:rFonts w:hint="eastAsia" w:ascii="仿宋" w:hAnsi="仿宋" w:eastAsia="仿宋" w:cs="仿宋_GB2312"/>
          <w:sz w:val="28"/>
          <w:szCs w:val="28"/>
        </w:rPr>
        <w:t>、</w:t>
      </w:r>
      <w:r>
        <w:rPr>
          <w:rFonts w:ascii="仿宋" w:hAnsi="仿宋" w:eastAsia="仿宋" w:cs="仿宋_GB2312"/>
          <w:sz w:val="28"/>
          <w:szCs w:val="28"/>
        </w:rPr>
        <w:t>土壤质量</w:t>
      </w:r>
      <w:r>
        <w:rPr>
          <w:rFonts w:hint="eastAsia" w:ascii="仿宋" w:hAnsi="仿宋" w:eastAsia="仿宋" w:cs="仿宋_GB2312"/>
          <w:sz w:val="28"/>
          <w:szCs w:val="28"/>
        </w:rPr>
        <w:t>、</w:t>
      </w:r>
      <w:r>
        <w:rPr>
          <w:rFonts w:ascii="仿宋" w:hAnsi="仿宋" w:eastAsia="仿宋" w:cs="仿宋_GB2312"/>
          <w:sz w:val="28"/>
          <w:szCs w:val="28"/>
        </w:rPr>
        <w:t>土壤养分要求</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3.3</w:t>
      </w:r>
      <w:r>
        <w:rPr>
          <w:rFonts w:ascii="仿宋_GB2312" w:hAnsi="仿宋_GB2312" w:eastAsia="仿宋" w:cs="仿宋_GB2312"/>
          <w:sz w:val="28"/>
          <w:szCs w:val="28"/>
        </w:rPr>
        <w:t> </w:t>
      </w:r>
      <w:r>
        <w:rPr>
          <w:rFonts w:hint="eastAsia" w:ascii="仿宋" w:hAnsi="仿宋" w:eastAsia="仿宋" w:cs="仿宋_GB2312"/>
          <w:sz w:val="28"/>
          <w:szCs w:val="28"/>
        </w:rPr>
        <w:t>建园规划</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园地选址、规划原则、茶园开垦、道路规划、水利规划、绿化</w:t>
      </w:r>
      <w:r>
        <w:rPr>
          <w:rFonts w:ascii="仿宋" w:hAnsi="仿宋" w:eastAsia="仿宋" w:cs="仿宋_GB2312"/>
          <w:sz w:val="28"/>
          <w:szCs w:val="28"/>
        </w:rPr>
        <w:t>和防护林规划</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3.4品种与种苗选择</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品种、种苗质量等进行了规定。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3.5种植</w:t>
      </w:r>
      <w:r>
        <w:rPr>
          <w:rFonts w:ascii="仿宋" w:hAnsi="仿宋" w:eastAsia="仿宋" w:cs="仿宋_GB2312"/>
          <w:sz w:val="28"/>
          <w:szCs w:val="28"/>
        </w:rPr>
        <w:t xml:space="preserve">  </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种植时间、种植规格、种植要求、种植方式等进行了规定。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3.6树冠管理</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对定型修剪</w:t>
      </w:r>
      <w:r>
        <w:rPr>
          <w:rFonts w:hint="eastAsia" w:ascii="仿宋" w:hAnsi="仿宋" w:eastAsia="仿宋" w:cs="仿宋_GB2312"/>
          <w:sz w:val="28"/>
          <w:szCs w:val="28"/>
        </w:rPr>
        <w:t>、</w:t>
      </w:r>
      <w:r>
        <w:rPr>
          <w:rFonts w:ascii="仿宋" w:hAnsi="仿宋" w:eastAsia="仿宋" w:cs="仿宋_GB2312"/>
          <w:sz w:val="28"/>
          <w:szCs w:val="28"/>
        </w:rPr>
        <w:t>整形修剪</w:t>
      </w:r>
      <w:r>
        <w:rPr>
          <w:rFonts w:hint="eastAsia" w:ascii="仿宋" w:hAnsi="仿宋" w:eastAsia="仿宋" w:cs="仿宋_GB2312"/>
          <w:sz w:val="28"/>
          <w:szCs w:val="28"/>
        </w:rPr>
        <w:t>、</w:t>
      </w:r>
      <w:r>
        <w:rPr>
          <w:rFonts w:ascii="仿宋" w:hAnsi="仿宋" w:eastAsia="仿宋" w:cs="仿宋_GB2312"/>
          <w:sz w:val="28"/>
          <w:szCs w:val="28"/>
        </w:rPr>
        <w:t>轻修剪</w:t>
      </w:r>
      <w:r>
        <w:rPr>
          <w:rFonts w:hint="eastAsia" w:ascii="仿宋" w:hAnsi="仿宋" w:eastAsia="仿宋" w:cs="仿宋_GB2312"/>
          <w:sz w:val="28"/>
          <w:szCs w:val="28"/>
        </w:rPr>
        <w:t>、</w:t>
      </w:r>
      <w:r>
        <w:rPr>
          <w:rFonts w:ascii="仿宋" w:hAnsi="仿宋" w:eastAsia="仿宋" w:cs="仿宋_GB2312"/>
          <w:sz w:val="28"/>
          <w:szCs w:val="28"/>
        </w:rPr>
        <w:t>深修剪</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3.7水分管理</w:t>
      </w:r>
    </w:p>
    <w:p>
      <w:pPr>
        <w:pStyle w:val="17"/>
        <w:ind w:firstLine="560"/>
        <w:rPr>
          <w:rFonts w:hint="eastAsia" w:ascii="仿宋" w:hAnsi="仿宋" w:eastAsia="仿宋" w:cs="仿宋_GB2312"/>
          <w:kern w:val="2"/>
          <w:sz w:val="28"/>
          <w:szCs w:val="28"/>
        </w:rPr>
      </w:pPr>
      <w:r>
        <w:rPr>
          <w:rFonts w:hint="eastAsia" w:ascii="仿宋" w:hAnsi="仿宋" w:eastAsia="仿宋" w:cs="仿宋_GB2312"/>
          <w:kern w:val="2"/>
          <w:sz w:val="28"/>
          <w:szCs w:val="28"/>
        </w:rPr>
        <w:t>茶园的水分管理，可以根据天气、土壤水分及茶树的状况进行判断。在天气干旱，降雨日数少，降雨量不多，蒸发量大，一般连续1周不下雨宜进行灌溉。</w:t>
      </w:r>
    </w:p>
    <w:p>
      <w:pPr>
        <w:pStyle w:val="17"/>
        <w:ind w:firstLine="420" w:firstLineChars="150"/>
        <w:rPr>
          <w:rFonts w:hint="eastAsia" w:ascii="仿宋" w:hAnsi="仿宋" w:eastAsia="仿宋" w:cs="仿宋_GB2312"/>
          <w:kern w:val="2"/>
          <w:sz w:val="28"/>
          <w:szCs w:val="28"/>
        </w:rPr>
      </w:pPr>
      <w:r>
        <w:rPr>
          <w:rFonts w:hint="eastAsia" w:ascii="仿宋" w:hAnsi="仿宋" w:eastAsia="仿宋" w:cs="仿宋_GB2312"/>
          <w:kern w:val="2"/>
          <w:sz w:val="28"/>
          <w:szCs w:val="28"/>
        </w:rPr>
        <w:t>当0～40c</w:t>
      </w:r>
      <w:r>
        <w:rPr>
          <w:rFonts w:ascii="仿宋" w:hAnsi="仿宋" w:eastAsia="仿宋" w:cs="仿宋_GB2312"/>
          <w:kern w:val="2"/>
          <w:sz w:val="28"/>
          <w:szCs w:val="28"/>
        </w:rPr>
        <w:t>m</w:t>
      </w:r>
      <w:r>
        <w:rPr>
          <w:rFonts w:hint="eastAsia" w:ascii="仿宋" w:hAnsi="仿宋" w:eastAsia="仿宋" w:cs="仿宋_GB2312"/>
          <w:kern w:val="2"/>
          <w:sz w:val="28"/>
          <w:szCs w:val="28"/>
        </w:rPr>
        <w:t>土层内土壤含水量≤20％，宜及时灌溉。</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若清晨其它植物上有露水而茶树叶片上无露水且失去光泽，触动茶树叶片沙沙作响时，表明茶树已严重失水，宜及时灌溉。</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3.8土壤管理</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对土壤覆盖</w:t>
      </w:r>
      <w:r>
        <w:rPr>
          <w:rFonts w:hint="eastAsia" w:ascii="仿宋" w:hAnsi="仿宋" w:eastAsia="仿宋" w:cs="仿宋_GB2312"/>
          <w:sz w:val="28"/>
          <w:szCs w:val="28"/>
        </w:rPr>
        <w:t>、</w:t>
      </w:r>
      <w:r>
        <w:rPr>
          <w:rFonts w:ascii="仿宋" w:hAnsi="仿宋" w:eastAsia="仿宋" w:cs="仿宋_GB2312"/>
          <w:sz w:val="28"/>
          <w:szCs w:val="28"/>
        </w:rPr>
        <w:t>土壤耕作</w:t>
      </w:r>
      <w:r>
        <w:rPr>
          <w:rFonts w:hint="eastAsia" w:ascii="仿宋" w:hAnsi="仿宋" w:eastAsia="仿宋" w:cs="仿宋_GB2312"/>
          <w:sz w:val="28"/>
          <w:szCs w:val="28"/>
        </w:rPr>
        <w:t>、</w:t>
      </w:r>
      <w:r>
        <w:rPr>
          <w:rFonts w:ascii="仿宋" w:hAnsi="仿宋" w:eastAsia="仿宋" w:cs="仿宋_GB2312"/>
          <w:sz w:val="28"/>
          <w:szCs w:val="28"/>
        </w:rPr>
        <w:t>土壤改良</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3.9施肥</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对土</w:t>
      </w:r>
      <w:r>
        <w:rPr>
          <w:rFonts w:hint="eastAsia" w:ascii="仿宋" w:hAnsi="仿宋" w:eastAsia="仿宋" w:cs="仿宋_GB2312"/>
          <w:sz w:val="28"/>
          <w:szCs w:val="28"/>
        </w:rPr>
        <w:t>施肥</w:t>
      </w:r>
      <w:r>
        <w:rPr>
          <w:rFonts w:ascii="仿宋" w:hAnsi="仿宋" w:eastAsia="仿宋" w:cs="仿宋_GB2312"/>
          <w:sz w:val="28"/>
          <w:szCs w:val="28"/>
        </w:rPr>
        <w:t>准则</w:t>
      </w:r>
      <w:r>
        <w:rPr>
          <w:rFonts w:hint="eastAsia" w:ascii="仿宋" w:hAnsi="仿宋" w:eastAsia="仿宋" w:cs="仿宋_GB2312"/>
          <w:sz w:val="28"/>
          <w:szCs w:val="28"/>
        </w:rPr>
        <w:t>、</w:t>
      </w:r>
      <w:r>
        <w:rPr>
          <w:rFonts w:ascii="仿宋" w:hAnsi="仿宋" w:eastAsia="仿宋" w:cs="仿宋_GB2312"/>
          <w:sz w:val="28"/>
          <w:szCs w:val="28"/>
        </w:rPr>
        <w:t>时间及方法</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3.10防治方法</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对</w:t>
      </w:r>
      <w:r>
        <w:rPr>
          <w:rFonts w:hint="eastAsia" w:ascii="仿宋" w:hAnsi="仿宋" w:eastAsia="仿宋" w:cs="仿宋_GB2312"/>
          <w:sz w:val="28"/>
          <w:szCs w:val="28"/>
        </w:rPr>
        <w:t>防治</w:t>
      </w:r>
      <w:r>
        <w:rPr>
          <w:rFonts w:ascii="仿宋" w:hAnsi="仿宋" w:eastAsia="仿宋" w:cs="仿宋_GB2312"/>
          <w:sz w:val="28"/>
          <w:szCs w:val="28"/>
        </w:rPr>
        <w:t>原则</w:t>
      </w:r>
      <w:r>
        <w:rPr>
          <w:rFonts w:hint="eastAsia" w:ascii="仿宋" w:hAnsi="仿宋" w:eastAsia="仿宋" w:cs="仿宋_GB2312"/>
          <w:sz w:val="28"/>
          <w:szCs w:val="28"/>
        </w:rPr>
        <w:t>、</w:t>
      </w:r>
      <w:r>
        <w:rPr>
          <w:rFonts w:ascii="仿宋" w:hAnsi="仿宋" w:eastAsia="仿宋" w:cs="仿宋_GB2312"/>
          <w:sz w:val="28"/>
          <w:szCs w:val="28"/>
        </w:rPr>
        <w:t>农业防治</w:t>
      </w:r>
      <w:r>
        <w:rPr>
          <w:rFonts w:hint="eastAsia" w:ascii="仿宋" w:hAnsi="仿宋" w:eastAsia="仿宋" w:cs="仿宋_GB2312"/>
          <w:sz w:val="28"/>
          <w:szCs w:val="28"/>
        </w:rPr>
        <w:t>、</w:t>
      </w:r>
      <w:r>
        <w:rPr>
          <w:rFonts w:ascii="仿宋" w:hAnsi="仿宋" w:eastAsia="仿宋" w:cs="仿宋_GB2312"/>
          <w:sz w:val="28"/>
          <w:szCs w:val="28"/>
        </w:rPr>
        <w:t>物理防治</w:t>
      </w:r>
      <w:r>
        <w:rPr>
          <w:rFonts w:hint="eastAsia" w:ascii="仿宋" w:hAnsi="仿宋" w:eastAsia="仿宋" w:cs="仿宋_GB2312"/>
          <w:sz w:val="28"/>
          <w:szCs w:val="28"/>
        </w:rPr>
        <w:t>、</w:t>
      </w:r>
      <w:r>
        <w:rPr>
          <w:rFonts w:ascii="仿宋" w:hAnsi="仿宋" w:eastAsia="仿宋" w:cs="仿宋_GB2312"/>
          <w:sz w:val="28"/>
          <w:szCs w:val="28"/>
        </w:rPr>
        <w:t>生物防治</w:t>
      </w:r>
      <w:r>
        <w:rPr>
          <w:rFonts w:hint="eastAsia" w:ascii="仿宋" w:hAnsi="仿宋" w:eastAsia="仿宋" w:cs="仿宋_GB2312"/>
          <w:sz w:val="28"/>
          <w:szCs w:val="28"/>
        </w:rPr>
        <w:t>等进行了规定。</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3.11主要害虫、病害防治</w:t>
      </w:r>
    </w:p>
    <w:p>
      <w:pPr>
        <w:widowControl/>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对尺蠖、茶饼病、炭疽病等进行了规定。</w:t>
      </w:r>
    </w:p>
    <w:p>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采用国际标准和国外先进标准的程度</w:t>
      </w:r>
    </w:p>
    <w:p>
      <w:pPr>
        <w:widowControl/>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通过文献检索，本方法标准未采用国际标准和国外先进标准。</w:t>
      </w:r>
    </w:p>
    <w:p>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与现行国家标准的关系</w:t>
      </w:r>
    </w:p>
    <w:p>
      <w:pPr>
        <w:spacing w:line="360" w:lineRule="auto"/>
        <w:ind w:firstLine="560" w:firstLineChars="200"/>
        <w:jc w:val="left"/>
        <w:rPr>
          <w:rFonts w:hint="eastAsia" w:ascii="仿宋" w:hAnsi="仿宋" w:eastAsia="仿宋"/>
          <w:color w:val="000000"/>
          <w:sz w:val="28"/>
          <w:szCs w:val="28"/>
        </w:rPr>
      </w:pPr>
      <w:r>
        <w:rPr>
          <w:rFonts w:ascii="仿宋" w:hAnsi="仿宋" w:eastAsia="仿宋" w:cs="仿宋_GB2312"/>
          <w:sz w:val="28"/>
          <w:szCs w:val="28"/>
        </w:rPr>
        <w:t>本方法标准与现有国家标准没有重复、冲突。</w:t>
      </w:r>
    </w:p>
    <w:p>
      <w:pPr>
        <w:pStyle w:val="2"/>
        <w:numPr>
          <w:ilvl w:val="0"/>
          <w:numId w:val="2"/>
        </w:numPr>
        <w:spacing w:before="156" w:beforeLines="50" w:after="156" w:afterLines="50" w:line="360" w:lineRule="auto"/>
        <w:ind w:left="0" w:firstLine="0"/>
        <w:jc w:val="left"/>
        <w:rPr>
          <w:rFonts w:hint="eastAsia" w:ascii="仿宋" w:hAnsi="仿宋" w:eastAsia="仿宋"/>
          <w:b w:val="0"/>
          <w:bCs/>
          <w:sz w:val="28"/>
          <w:szCs w:val="28"/>
        </w:rPr>
      </w:pPr>
      <w:r>
        <w:rPr>
          <w:rFonts w:ascii="仿宋" w:hAnsi="仿宋" w:eastAsia="仿宋"/>
          <w:b w:val="0"/>
          <w:bCs/>
          <w:sz w:val="28"/>
          <w:szCs w:val="28"/>
        </w:rPr>
        <w:t>重大分歧的处理经过和依据</w:t>
      </w:r>
    </w:p>
    <w:p>
      <w:pPr>
        <w:spacing w:line="360" w:lineRule="auto"/>
        <w:ind w:firstLine="560" w:firstLineChars="200"/>
        <w:jc w:val="left"/>
        <w:rPr>
          <w:rFonts w:hint="eastAsia" w:ascii="仿宋" w:hAnsi="仿宋" w:eastAsia="仿宋"/>
          <w:color w:val="000000"/>
          <w:sz w:val="28"/>
          <w:szCs w:val="28"/>
        </w:rPr>
      </w:pPr>
      <w:r>
        <w:rPr>
          <w:rFonts w:ascii="仿宋" w:hAnsi="仿宋" w:eastAsia="仿宋" w:cs="仿宋_GB2312"/>
          <w:sz w:val="28"/>
          <w:szCs w:val="28"/>
        </w:rPr>
        <w:t>本方法标准没有重大分歧意见。</w:t>
      </w:r>
    </w:p>
    <w:p>
      <w:pPr>
        <w:numPr>
          <w:ilvl w:val="0"/>
          <w:numId w:val="2"/>
        </w:numPr>
        <w:ind w:left="0" w:firstLine="0"/>
        <w:rPr>
          <w:rFonts w:hint="eastAsia" w:ascii="仿宋" w:hAnsi="仿宋" w:eastAsia="仿宋"/>
          <w:bCs/>
          <w:sz w:val="28"/>
          <w:szCs w:val="28"/>
        </w:rPr>
      </w:pPr>
      <w:r>
        <w:rPr>
          <w:rFonts w:ascii="仿宋" w:hAnsi="仿宋" w:eastAsia="仿宋"/>
          <w:bCs/>
          <w:sz w:val="28"/>
          <w:szCs w:val="28"/>
        </w:rPr>
        <w:t>标准作为强制性或推荐性标准的建议</w:t>
      </w:r>
    </w:p>
    <w:p>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建议为推荐性</w:t>
      </w:r>
      <w:r>
        <w:rPr>
          <w:rFonts w:hint="eastAsia" w:ascii="仿宋" w:hAnsi="仿宋" w:eastAsia="仿宋" w:cs="仿宋_GB2312"/>
          <w:sz w:val="28"/>
          <w:szCs w:val="28"/>
        </w:rPr>
        <w:t>地方</w:t>
      </w:r>
      <w:r>
        <w:rPr>
          <w:rFonts w:ascii="仿宋" w:hAnsi="仿宋" w:eastAsia="仿宋" w:cs="仿宋_GB2312"/>
          <w:sz w:val="28"/>
          <w:szCs w:val="28"/>
        </w:rPr>
        <w:t>标准。</w:t>
      </w:r>
    </w:p>
    <w:p>
      <w:pPr>
        <w:numPr>
          <w:ilvl w:val="0"/>
          <w:numId w:val="2"/>
        </w:numPr>
        <w:ind w:left="0" w:firstLine="0"/>
        <w:rPr>
          <w:rFonts w:hint="eastAsia" w:ascii="仿宋" w:hAnsi="仿宋" w:eastAsia="仿宋"/>
          <w:bCs/>
          <w:sz w:val="28"/>
          <w:szCs w:val="28"/>
        </w:rPr>
      </w:pPr>
      <w:r>
        <w:rPr>
          <w:rFonts w:ascii="仿宋" w:hAnsi="仿宋" w:eastAsia="仿宋"/>
          <w:bCs/>
          <w:sz w:val="28"/>
          <w:szCs w:val="28"/>
        </w:rPr>
        <w:t>贯彻标准的要求和措施建议</w:t>
      </w:r>
    </w:p>
    <w:p>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建议举办质量监督、检验、科研和生产等相关人员参加的标准宣贯培训班，推广本标准的实施。</w:t>
      </w:r>
    </w:p>
    <w:p>
      <w:pPr>
        <w:numPr>
          <w:ilvl w:val="0"/>
          <w:numId w:val="2"/>
        </w:numPr>
        <w:ind w:left="0" w:firstLine="0"/>
        <w:rPr>
          <w:rFonts w:hint="eastAsia" w:ascii="仿宋" w:hAnsi="仿宋" w:eastAsia="仿宋"/>
          <w:bCs/>
          <w:sz w:val="28"/>
          <w:szCs w:val="28"/>
        </w:rPr>
      </w:pPr>
      <w:r>
        <w:rPr>
          <w:rFonts w:ascii="仿宋" w:hAnsi="仿宋" w:eastAsia="仿宋"/>
          <w:bCs/>
          <w:sz w:val="28"/>
          <w:szCs w:val="28"/>
        </w:rPr>
        <w:t>废止现行标准的建议</w:t>
      </w:r>
    </w:p>
    <w:p>
      <w:pPr>
        <w:spacing w:line="360" w:lineRule="auto"/>
        <w:ind w:firstLine="560" w:firstLineChars="200"/>
        <w:jc w:val="left"/>
        <w:rPr>
          <w:rFonts w:hint="eastAsia" w:ascii="仿宋" w:hAnsi="仿宋" w:eastAsia="仿宋" w:cs="仿宋_GB2312"/>
          <w:sz w:val="28"/>
          <w:szCs w:val="28"/>
        </w:rPr>
      </w:pPr>
      <w:r>
        <w:rPr>
          <w:rFonts w:ascii="仿宋" w:hAnsi="仿宋" w:eastAsia="仿宋" w:cs="仿宋_GB2312"/>
          <w:sz w:val="28"/>
          <w:szCs w:val="28"/>
        </w:rPr>
        <w:t>本方法标准为首次制定，没有现行标准需要废除。</w:t>
      </w:r>
    </w:p>
    <w:p>
      <w:pPr>
        <w:numPr>
          <w:ilvl w:val="0"/>
          <w:numId w:val="2"/>
        </w:numPr>
        <w:ind w:left="0" w:firstLine="0"/>
        <w:rPr>
          <w:rFonts w:hint="eastAsia" w:ascii="仿宋" w:hAnsi="仿宋" w:eastAsia="仿宋"/>
          <w:bCs/>
          <w:sz w:val="28"/>
          <w:szCs w:val="28"/>
        </w:rPr>
      </w:pPr>
      <w:r>
        <w:rPr>
          <w:rFonts w:ascii="仿宋" w:hAnsi="仿宋" w:eastAsia="仿宋"/>
          <w:bCs/>
          <w:sz w:val="28"/>
          <w:szCs w:val="28"/>
        </w:rPr>
        <w:t>其它应予说明的事项</w:t>
      </w:r>
    </w:p>
    <w:p>
      <w:pPr>
        <w:spacing w:line="360" w:lineRule="auto"/>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rPr>
        <w:t>本方法标准没有其它应予说明事项。</w:t>
      </w:r>
    </w:p>
    <w:p>
      <w:pPr>
        <w:spacing w:line="360" w:lineRule="auto"/>
        <w:jc w:val="left"/>
      </w:pP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805682"/>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A7E1"/>
    <w:multiLevelType w:val="multilevel"/>
    <w:tmpl w:val="5A2BA7E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D6163D5"/>
    <w:multiLevelType w:val="multilevel"/>
    <w:tmpl w:val="6D6163D5"/>
    <w:lvl w:ilvl="0" w:tentative="0">
      <w:start w:val="1"/>
      <w:numFmt w:val="decimal"/>
      <w:pStyle w:val="2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13711F2"/>
    <w:rsid w:val="00035F1B"/>
    <w:rsid w:val="00093E41"/>
    <w:rsid w:val="00094609"/>
    <w:rsid w:val="00095CAD"/>
    <w:rsid w:val="000C33F2"/>
    <w:rsid w:val="000E74DE"/>
    <w:rsid w:val="001117AD"/>
    <w:rsid w:val="00177D50"/>
    <w:rsid w:val="001D7607"/>
    <w:rsid w:val="00267CC9"/>
    <w:rsid w:val="002B2DE6"/>
    <w:rsid w:val="002E0A30"/>
    <w:rsid w:val="00363919"/>
    <w:rsid w:val="00427894"/>
    <w:rsid w:val="00452335"/>
    <w:rsid w:val="00463F4F"/>
    <w:rsid w:val="00485AE4"/>
    <w:rsid w:val="004A2766"/>
    <w:rsid w:val="00503741"/>
    <w:rsid w:val="00524C11"/>
    <w:rsid w:val="00552B4A"/>
    <w:rsid w:val="005659BE"/>
    <w:rsid w:val="005A1013"/>
    <w:rsid w:val="005A23DC"/>
    <w:rsid w:val="005B28AA"/>
    <w:rsid w:val="005E3709"/>
    <w:rsid w:val="00670FC5"/>
    <w:rsid w:val="008123E1"/>
    <w:rsid w:val="00825BF0"/>
    <w:rsid w:val="00860AA6"/>
    <w:rsid w:val="008C628B"/>
    <w:rsid w:val="00904AA8"/>
    <w:rsid w:val="00963ED2"/>
    <w:rsid w:val="009952B1"/>
    <w:rsid w:val="009D44A8"/>
    <w:rsid w:val="00A03D69"/>
    <w:rsid w:val="00B8351A"/>
    <w:rsid w:val="00B85494"/>
    <w:rsid w:val="00C37077"/>
    <w:rsid w:val="00C6779E"/>
    <w:rsid w:val="00C9041C"/>
    <w:rsid w:val="00CA08C3"/>
    <w:rsid w:val="00D71713"/>
    <w:rsid w:val="00D822AA"/>
    <w:rsid w:val="00D84920"/>
    <w:rsid w:val="00E3215C"/>
    <w:rsid w:val="00E76937"/>
    <w:rsid w:val="00E92754"/>
    <w:rsid w:val="00F72697"/>
    <w:rsid w:val="00F93A29"/>
    <w:rsid w:val="00FB5F03"/>
    <w:rsid w:val="00FD387C"/>
    <w:rsid w:val="013711F2"/>
    <w:rsid w:val="0234656C"/>
    <w:rsid w:val="02CA1944"/>
    <w:rsid w:val="03A14B82"/>
    <w:rsid w:val="03D63737"/>
    <w:rsid w:val="042F0025"/>
    <w:rsid w:val="04512CC3"/>
    <w:rsid w:val="04E42D85"/>
    <w:rsid w:val="05F10F68"/>
    <w:rsid w:val="06054909"/>
    <w:rsid w:val="067D1550"/>
    <w:rsid w:val="09F86071"/>
    <w:rsid w:val="0ACA7318"/>
    <w:rsid w:val="0B000A71"/>
    <w:rsid w:val="0BAA0482"/>
    <w:rsid w:val="0C0B6B33"/>
    <w:rsid w:val="0CFD45F8"/>
    <w:rsid w:val="0D474572"/>
    <w:rsid w:val="0D9D5F34"/>
    <w:rsid w:val="0E1436C5"/>
    <w:rsid w:val="0E835D66"/>
    <w:rsid w:val="11B6163C"/>
    <w:rsid w:val="125E5536"/>
    <w:rsid w:val="128D1DAF"/>
    <w:rsid w:val="12A9478E"/>
    <w:rsid w:val="12B86D0B"/>
    <w:rsid w:val="12BC06D9"/>
    <w:rsid w:val="136811A3"/>
    <w:rsid w:val="15214399"/>
    <w:rsid w:val="16865B4A"/>
    <w:rsid w:val="168C7AEF"/>
    <w:rsid w:val="169801F3"/>
    <w:rsid w:val="16CF50D3"/>
    <w:rsid w:val="170A7DB2"/>
    <w:rsid w:val="186E7C7E"/>
    <w:rsid w:val="19805143"/>
    <w:rsid w:val="19C233BF"/>
    <w:rsid w:val="1D494C12"/>
    <w:rsid w:val="1D943675"/>
    <w:rsid w:val="20365ED3"/>
    <w:rsid w:val="20FD5D2F"/>
    <w:rsid w:val="22765777"/>
    <w:rsid w:val="231854A7"/>
    <w:rsid w:val="23970664"/>
    <w:rsid w:val="245D40DF"/>
    <w:rsid w:val="24EE5C99"/>
    <w:rsid w:val="24F7282E"/>
    <w:rsid w:val="253B5E1B"/>
    <w:rsid w:val="262F3931"/>
    <w:rsid w:val="263E0275"/>
    <w:rsid w:val="27A42CB2"/>
    <w:rsid w:val="29633F0C"/>
    <w:rsid w:val="296B3637"/>
    <w:rsid w:val="2C6D7B56"/>
    <w:rsid w:val="2DC7604A"/>
    <w:rsid w:val="2E7A664C"/>
    <w:rsid w:val="2EBB46E0"/>
    <w:rsid w:val="2F120FF2"/>
    <w:rsid w:val="2F3F555D"/>
    <w:rsid w:val="30D626AB"/>
    <w:rsid w:val="31D345F6"/>
    <w:rsid w:val="32344A73"/>
    <w:rsid w:val="33026170"/>
    <w:rsid w:val="333615A1"/>
    <w:rsid w:val="334D10A6"/>
    <w:rsid w:val="34A031FA"/>
    <w:rsid w:val="35E20714"/>
    <w:rsid w:val="365770BF"/>
    <w:rsid w:val="38144944"/>
    <w:rsid w:val="38DF4ACB"/>
    <w:rsid w:val="399560F7"/>
    <w:rsid w:val="39BC39D5"/>
    <w:rsid w:val="39FC66DE"/>
    <w:rsid w:val="3A2A6D54"/>
    <w:rsid w:val="3AE628AD"/>
    <w:rsid w:val="3BC513D8"/>
    <w:rsid w:val="3E192C60"/>
    <w:rsid w:val="407E51DD"/>
    <w:rsid w:val="41005F75"/>
    <w:rsid w:val="412444AC"/>
    <w:rsid w:val="41894B4D"/>
    <w:rsid w:val="42582FCB"/>
    <w:rsid w:val="43001058"/>
    <w:rsid w:val="43F76D7F"/>
    <w:rsid w:val="45093352"/>
    <w:rsid w:val="47C20A2D"/>
    <w:rsid w:val="49CA29B7"/>
    <w:rsid w:val="4A314D66"/>
    <w:rsid w:val="4C746B8C"/>
    <w:rsid w:val="4DB82EB0"/>
    <w:rsid w:val="4E852E04"/>
    <w:rsid w:val="4EBB3142"/>
    <w:rsid w:val="4EEA3B11"/>
    <w:rsid w:val="502224C0"/>
    <w:rsid w:val="503A7E22"/>
    <w:rsid w:val="54CB1301"/>
    <w:rsid w:val="55936CCF"/>
    <w:rsid w:val="55AD1F33"/>
    <w:rsid w:val="55C17993"/>
    <w:rsid w:val="564A2C6F"/>
    <w:rsid w:val="56E8693A"/>
    <w:rsid w:val="5702538C"/>
    <w:rsid w:val="573E6FB7"/>
    <w:rsid w:val="589F1689"/>
    <w:rsid w:val="59656AD7"/>
    <w:rsid w:val="59AF29B3"/>
    <w:rsid w:val="5A4D6B1A"/>
    <w:rsid w:val="5AC31951"/>
    <w:rsid w:val="5B0A2645"/>
    <w:rsid w:val="5B3F406B"/>
    <w:rsid w:val="5C6255AE"/>
    <w:rsid w:val="5D205EEB"/>
    <w:rsid w:val="6097604A"/>
    <w:rsid w:val="61086C1F"/>
    <w:rsid w:val="61B16AF8"/>
    <w:rsid w:val="61C8709D"/>
    <w:rsid w:val="62331C63"/>
    <w:rsid w:val="62B74BE1"/>
    <w:rsid w:val="632F3A6D"/>
    <w:rsid w:val="655147C9"/>
    <w:rsid w:val="6757378C"/>
    <w:rsid w:val="676214E1"/>
    <w:rsid w:val="67D95E22"/>
    <w:rsid w:val="67E65599"/>
    <w:rsid w:val="68B00A00"/>
    <w:rsid w:val="6ADB6D49"/>
    <w:rsid w:val="6CF72D40"/>
    <w:rsid w:val="6CFD0E74"/>
    <w:rsid w:val="6DB242E8"/>
    <w:rsid w:val="6DD8559F"/>
    <w:rsid w:val="6E3964D4"/>
    <w:rsid w:val="6E674B59"/>
    <w:rsid w:val="6E8139C4"/>
    <w:rsid w:val="709D0780"/>
    <w:rsid w:val="71037B2D"/>
    <w:rsid w:val="721113CA"/>
    <w:rsid w:val="737952DD"/>
    <w:rsid w:val="74794CBD"/>
    <w:rsid w:val="747C16D5"/>
    <w:rsid w:val="7550590F"/>
    <w:rsid w:val="766B63C6"/>
    <w:rsid w:val="76B774B8"/>
    <w:rsid w:val="78D20BA6"/>
    <w:rsid w:val="7A046371"/>
    <w:rsid w:val="7A311B1E"/>
    <w:rsid w:val="7AFE44CC"/>
    <w:rsid w:val="7B031FC5"/>
    <w:rsid w:val="7D37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ind w:left="425" w:hanging="425"/>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color w:val="333333"/>
      <w:kern w:val="0"/>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Body Text Indent"/>
    <w:basedOn w:val="1"/>
    <w:qFormat/>
    <w:uiPriority w:val="0"/>
    <w:pPr>
      <w:tabs>
        <w:tab w:val="left" w:pos="2268"/>
      </w:tabs>
      <w:spacing w:line="560" w:lineRule="exact"/>
      <w:ind w:firstLine="600" w:firstLineChars="200"/>
    </w:pPr>
    <w:rPr>
      <w:rFonts w:ascii="仿宋_GB2312"/>
      <w:sz w:val="30"/>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338DE6"/>
      <w:u w:val="none"/>
    </w:rPr>
  </w:style>
  <w:style w:type="character" w:customStyle="1" w:styleId="13">
    <w:name w:val="页眉 字符"/>
    <w:basedOn w:val="11"/>
    <w:link w:val="8"/>
    <w:qFormat/>
    <w:uiPriority w:val="0"/>
    <w:rPr>
      <w:rFonts w:ascii="Calibri" w:hAnsi="Calibri"/>
      <w:kern w:val="2"/>
      <w:sz w:val="18"/>
      <w:szCs w:val="18"/>
    </w:rPr>
  </w:style>
  <w:style w:type="character" w:customStyle="1" w:styleId="14">
    <w:name w:val="font11"/>
    <w:basedOn w:val="11"/>
    <w:qFormat/>
    <w:uiPriority w:val="0"/>
    <w:rPr>
      <w:rFonts w:hint="eastAsia" w:ascii="宋体" w:hAnsi="宋体" w:eastAsia="宋体" w:cs="宋体"/>
      <w:color w:val="000000"/>
      <w:sz w:val="22"/>
      <w:szCs w:val="22"/>
      <w:u w:val="none"/>
      <w:vertAlign w:val="subscript"/>
    </w:rPr>
  </w:style>
  <w:style w:type="character" w:customStyle="1" w:styleId="15">
    <w:name w:val="页脚 字符"/>
    <w:basedOn w:val="11"/>
    <w:link w:val="7"/>
    <w:qFormat/>
    <w:uiPriority w:val="99"/>
    <w:rPr>
      <w:rFonts w:ascii="Calibri" w:hAnsi="Calibri"/>
      <w:kern w:val="2"/>
      <w:sz w:val="18"/>
      <w:szCs w:val="18"/>
    </w:rPr>
  </w:style>
  <w:style w:type="character" w:customStyle="1" w:styleId="16">
    <w:name w:val="font01"/>
    <w:basedOn w:val="11"/>
    <w:qFormat/>
    <w:uiPriority w:val="0"/>
    <w:rPr>
      <w:rFonts w:hint="eastAsia" w:ascii="宋体" w:hAnsi="宋体" w:eastAsia="宋体" w:cs="宋体"/>
      <w:color w:val="000000"/>
      <w:sz w:val="22"/>
      <w:szCs w:val="22"/>
      <w:u w:val="none"/>
      <w:vertAlign w:val="subscript"/>
    </w:rPr>
  </w:style>
  <w:style w:type="paragraph" w:customStyle="1" w:styleId="17">
    <w:name w:val="段"/>
    <w:link w:val="28"/>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一级条标题"/>
    <w:next w:val="1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7"/>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7"/>
    <w:qFormat/>
    <w:uiPriority w:val="0"/>
    <w:pPr>
      <w:spacing w:before="50" w:after="50"/>
      <w:outlineLvl w:val="3"/>
    </w:pPr>
  </w:style>
  <w:style w:type="paragraph" w:customStyle="1" w:styleId="21">
    <w:name w:val="终结线"/>
    <w:basedOn w:val="1"/>
    <w:qFormat/>
    <w:uiPriority w:val="99"/>
    <w:pPr>
      <w:framePr w:hSpace="181" w:vSpace="181" w:wrap="around" w:vAnchor="text" w:hAnchor="margin" w:xAlign="center" w:y="285"/>
    </w:pPr>
  </w:style>
  <w:style w:type="paragraph" w:styleId="22">
    <w:name w:val="List Paragraph"/>
    <w:basedOn w:val="1"/>
    <w:qFormat/>
    <w:uiPriority w:val="99"/>
    <w:pPr>
      <w:ind w:firstLine="420" w:firstLineChars="200"/>
    </w:pPr>
  </w:style>
  <w:style w:type="paragraph" w:customStyle="1" w:styleId="23">
    <w:name w:val="Char Char1 Char Char Char Char Char Char"/>
    <w:basedOn w:val="1"/>
    <w:qFormat/>
    <w:uiPriority w:val="0"/>
    <w:pPr>
      <w:widowControl/>
      <w:spacing w:after="160" w:line="240" w:lineRule="exact"/>
      <w:jc w:val="left"/>
    </w:pPr>
    <w:rPr>
      <w:rFonts w:ascii="Times New Roman" w:hAnsi="Times New Roman" w:eastAsia="仿宋_GB2312"/>
      <w:sz w:val="32"/>
      <w:szCs w:val="20"/>
    </w:rPr>
  </w:style>
  <w:style w:type="paragraph" w:customStyle="1" w:styleId="2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三级条标题"/>
    <w:basedOn w:val="20"/>
    <w:next w:val="17"/>
    <w:qFormat/>
    <w:uiPriority w:val="0"/>
    <w:pPr>
      <w:spacing w:beforeLines="0" w:afterLines="0"/>
      <w:jc w:val="both"/>
      <w:outlineLvl w:val="4"/>
    </w:pPr>
    <w:rPr>
      <w:szCs w:val="20"/>
    </w:rPr>
  </w:style>
  <w:style w:type="paragraph" w:customStyle="1" w:styleId="26">
    <w:name w:val="四级条标题"/>
    <w:basedOn w:val="25"/>
    <w:next w:val="17"/>
    <w:qFormat/>
    <w:uiPriority w:val="0"/>
    <w:pPr>
      <w:outlineLvl w:val="5"/>
    </w:pPr>
  </w:style>
  <w:style w:type="paragraph" w:customStyle="1" w:styleId="27">
    <w:name w:val="五级条标题"/>
    <w:basedOn w:val="26"/>
    <w:next w:val="17"/>
    <w:qFormat/>
    <w:uiPriority w:val="0"/>
    <w:pPr>
      <w:outlineLvl w:val="6"/>
    </w:pPr>
  </w:style>
  <w:style w:type="character" w:customStyle="1" w:styleId="28">
    <w:name w:val="段 Char"/>
    <w:link w:val="17"/>
    <w:qFormat/>
    <w:uiPriority w:val="0"/>
    <w:rPr>
      <w:rFonts w:ascii="宋体"/>
      <w:sz w:val="21"/>
      <w:szCs w:val="22"/>
    </w:rPr>
  </w:style>
  <w:style w:type="paragraph" w:customStyle="1" w:styleId="29">
    <w:name w:val="标准文件_段"/>
    <w:link w:val="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标准文件_段 Char"/>
    <w:link w:val="29"/>
    <w:qFormat/>
    <w:uiPriority w:val="0"/>
    <w:rPr>
      <w:rFonts w:asci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576</Words>
  <Characters>3288</Characters>
  <Lines>27</Lines>
  <Paragraphs>7</Paragraphs>
  <TotalTime>166</TotalTime>
  <ScaleCrop>false</ScaleCrop>
  <LinksUpToDate>false</LinksUpToDate>
  <CharactersWithSpaces>3857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2021-03-02T02:34:00Z</dcterms:created>
  <dc:creator>Administrator</dc:creator>
  <cp:lastModifiedBy>谢冰</cp:lastModifiedBy>
  <dcterms:modified xsi:type="dcterms:W3CDTF">2024-10-18T08:23:39Z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BEA9E2255A0F4DD7AE3AB83977F0C59D</vt:lpwstr>
  </property>
</Properties>
</file>