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center"/>
        <w:rPr>
          <w:rFonts w:hint="eastAsia" w:ascii="CESI小标宋-GB2312" w:hAnsi="CESI小标宋-GB2312" w:eastAsia="CESI小标宋-GB2312" w:cs="CESI小标宋-GB2312"/>
          <w:bCs/>
          <w:sz w:val="44"/>
          <w:szCs w:val="44"/>
        </w:rPr>
      </w:pPr>
      <w:bookmarkStart w:id="0" w:name="_Hlk490732728"/>
      <w:r>
        <w:rPr>
          <w:rFonts w:hint="eastAsia" w:ascii="CESI小标宋-GB2312" w:hAnsi="CESI小标宋-GB2312" w:eastAsia="CESI小标宋-GB2312" w:cs="CESI小标宋-GB2312"/>
          <w:bCs/>
          <w:sz w:val="44"/>
          <w:szCs w:val="44"/>
        </w:rPr>
        <w:t>关于《河源市</w:t>
      </w:r>
      <w:r>
        <w:rPr>
          <w:rFonts w:hint="eastAsia" w:ascii="CESI小标宋-GB2312" w:hAnsi="CESI小标宋-GB2312" w:eastAsia="CESI小标宋-GB2312" w:cs="CESI小标宋-GB2312"/>
          <w:bCs/>
          <w:sz w:val="44"/>
          <w:szCs w:val="44"/>
          <w:lang w:eastAsia="zh-CN"/>
        </w:rPr>
        <w:t>新丰江水库水质保护</w:t>
      </w:r>
      <w:r>
        <w:rPr>
          <w:rFonts w:hint="eastAsia" w:ascii="CESI小标宋-GB2312" w:hAnsi="CESI小标宋-GB2312" w:eastAsia="CESI小标宋-GB2312" w:cs="CESI小标宋-GB2312"/>
          <w:bCs/>
          <w:sz w:val="44"/>
          <w:szCs w:val="44"/>
        </w:rPr>
        <w:t>条例</w:t>
      </w:r>
    </w:p>
    <w:p>
      <w:pPr>
        <w:keepNext w:val="0"/>
        <w:keepLines w:val="0"/>
        <w:pageBreakBefore w:val="0"/>
        <w:kinsoku/>
        <w:wordWrap/>
        <w:overflowPunct/>
        <w:topLinePunct w:val="0"/>
        <w:autoSpaceDE/>
        <w:autoSpaceDN/>
        <w:bidi w:val="0"/>
        <w:spacing w:line="580" w:lineRule="exact"/>
        <w:jc w:val="center"/>
        <w:rPr>
          <w:rFonts w:hint="eastAsia" w:ascii="CESI小标宋-GB2312" w:hAnsi="CESI小标宋-GB2312" w:eastAsia="CESI小标宋-GB2312" w:cs="CESI小标宋-GB2312"/>
          <w:bCs/>
          <w:sz w:val="44"/>
          <w:szCs w:val="44"/>
        </w:rPr>
      </w:pPr>
      <w:r>
        <w:rPr>
          <w:rFonts w:hint="eastAsia" w:ascii="CESI小标宋-GB2312" w:hAnsi="CESI小标宋-GB2312" w:eastAsia="CESI小标宋-GB2312" w:cs="CESI小标宋-GB2312"/>
          <w:bCs/>
          <w:sz w:val="44"/>
          <w:szCs w:val="44"/>
        </w:rPr>
        <w:t>（</w:t>
      </w:r>
      <w:r>
        <w:rPr>
          <w:rFonts w:hint="eastAsia" w:ascii="CESI小标宋-GB2312" w:hAnsi="CESI小标宋-GB2312" w:eastAsia="CESI小标宋-GB2312" w:cs="CESI小标宋-GB2312"/>
          <w:bCs/>
          <w:sz w:val="44"/>
          <w:szCs w:val="44"/>
          <w:lang w:eastAsia="zh-CN"/>
        </w:rPr>
        <w:t>送审稿</w:t>
      </w:r>
      <w:r>
        <w:rPr>
          <w:rFonts w:hint="eastAsia" w:ascii="CESI小标宋-GB2312" w:hAnsi="CESI小标宋-GB2312" w:eastAsia="CESI小标宋-GB2312" w:cs="CESI小标宋-GB2312"/>
          <w:bCs/>
          <w:sz w:val="44"/>
          <w:szCs w:val="44"/>
        </w:rPr>
        <w:t>）》的起草说明</w:t>
      </w:r>
      <w:bookmarkEnd w:id="0"/>
    </w:p>
    <w:p>
      <w:pPr>
        <w:keepNext w:val="0"/>
        <w:keepLines w:val="0"/>
        <w:pageBreakBefore w:val="0"/>
        <w:kinsoku/>
        <w:wordWrap/>
        <w:overflowPunct/>
        <w:topLinePunct w:val="0"/>
        <w:autoSpaceDE/>
        <w:autoSpaceDN/>
        <w:bidi w:val="0"/>
        <w:spacing w:line="580" w:lineRule="exact"/>
        <w:ind w:firstLine="880" w:firstLineChars="200"/>
        <w:jc w:val="center"/>
        <w:rPr>
          <w:rFonts w:hint="eastAsia" w:ascii="CESI小标宋-GB2312" w:hAnsi="CESI小标宋-GB2312" w:eastAsia="CESI小标宋-GB2312" w:cs="CESI小标宋-GB2312"/>
          <w:sz w:val="44"/>
          <w:szCs w:val="44"/>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b w:val="0"/>
          <w:bCs w:val="0"/>
          <w:sz w:val="32"/>
          <w:szCs w:val="32"/>
          <w:highlight w:val="none"/>
          <w:u w:val="none"/>
          <w:lang w:val="en-US" w:eastAsia="zh-CN"/>
        </w:rPr>
        <w:t>《河源市人大常委会2023年立法工作计划》将新丰江水库水质保护立法列入了2023年的预备项目。为积极贯彻落实省委书记黄坤明在河源调研指示精神，今年初，市委、市人大常委会和市政府将新丰江水库水质保护立法列入正式项目提前启动，成立了立法工作专班，由我局负责法规送审稿起草工作。</w:t>
      </w:r>
      <w:r>
        <w:rPr>
          <w:rFonts w:hint="eastAsia" w:ascii="CESI仿宋-GB2312" w:hAnsi="CESI仿宋-GB2312" w:eastAsia="CESI仿宋-GB2312" w:cs="CESI仿宋-GB2312"/>
          <w:szCs w:val="32"/>
        </w:rPr>
        <w:t>现就《条例（</w:t>
      </w:r>
      <w:r>
        <w:rPr>
          <w:rFonts w:hint="eastAsia" w:ascii="CESI仿宋-GB2312" w:hAnsi="CESI仿宋-GB2312" w:eastAsia="CESI仿宋-GB2312" w:cs="CESI仿宋-GB2312"/>
          <w:szCs w:val="32"/>
          <w:lang w:eastAsia="zh-CN"/>
        </w:rPr>
        <w:t>送审稿</w:t>
      </w:r>
      <w:r>
        <w:rPr>
          <w:rFonts w:hint="eastAsia" w:ascii="CESI仿宋-GB2312" w:hAnsi="CESI仿宋-GB2312" w:eastAsia="CESI仿宋-GB2312" w:cs="CESI仿宋-GB2312"/>
          <w:szCs w:val="32"/>
        </w:rPr>
        <w:t>）》作如下说明：</w:t>
      </w:r>
    </w:p>
    <w:p>
      <w:pPr>
        <w:keepNext w:val="0"/>
        <w:keepLines w:val="0"/>
        <w:pageBreakBefore w:val="0"/>
        <w:kinsoku/>
        <w:wordWrap/>
        <w:overflowPunct/>
        <w:topLinePunct w:val="0"/>
        <w:autoSpaceDE/>
        <w:autoSpaceDN/>
        <w:bidi w:val="0"/>
        <w:spacing w:line="580" w:lineRule="exact"/>
        <w:ind w:firstLine="640" w:firstLineChars="200"/>
        <w:rPr>
          <w:rFonts w:hint="eastAsia" w:ascii="黑体" w:hAnsi="黑体" w:eastAsia="黑体" w:cs="黑体"/>
          <w:kern w:val="0"/>
          <w:szCs w:val="32"/>
          <w:lang w:bidi="ar"/>
        </w:rPr>
      </w:pPr>
      <w:r>
        <w:rPr>
          <w:rFonts w:hint="eastAsia" w:ascii="黑体" w:hAnsi="黑体" w:eastAsia="黑体" w:cs="黑体"/>
          <w:kern w:val="0"/>
          <w:szCs w:val="32"/>
          <w:lang w:bidi="ar"/>
        </w:rPr>
        <w:t>一、立法的必要性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CESI仿宋-GB2312" w:hAnsi="CESI仿宋-GB2312" w:eastAsia="CESI仿宋-GB2312" w:cs="CESI仿宋-GB2312"/>
          <w:bCs/>
          <w:kern w:val="2"/>
          <w:sz w:val="32"/>
          <w:szCs w:val="32"/>
          <w:highlight w:val="none"/>
          <w:lang w:val="en-US" w:eastAsia="zh-CN" w:bidi="ar-SA"/>
        </w:rPr>
      </w:pPr>
      <w:r>
        <w:rPr>
          <w:rFonts w:hint="eastAsia" w:ascii="CESI仿宋-GB2312" w:hAnsi="CESI仿宋-GB2312" w:eastAsia="CESI仿宋-GB2312" w:cs="CESI仿宋-GB2312"/>
          <w:bCs/>
          <w:kern w:val="2"/>
          <w:sz w:val="32"/>
          <w:szCs w:val="32"/>
          <w:highlight w:val="none"/>
          <w:lang w:val="en-US" w:eastAsia="zh-CN" w:bidi="ar-SA"/>
        </w:rPr>
        <w:t>新丰江水库（万绿湖）主要位于我市东源县境内，总库容量139亿立方米，水域面积370平方公里，多年年均进出库水量为61亿立方米，是全国十大水库之一和华南第一大湖。水库汇水区地跨广东河源、韶关、惠州三市，我市范围内涉及源城、东源、和平和连平四个县（区），总面积约5814平方公里，其中河源4500平方公里，韶关1313平方公里，惠州1平方公里，主要一级入库支流有</w:t>
      </w:r>
      <w:r>
        <w:rPr>
          <w:rFonts w:hint="eastAsia" w:ascii="CESI仿宋-GB2312" w:hAnsi="CESI仿宋-GB2312" w:eastAsia="CESI仿宋-GB2312" w:cs="CESI仿宋-GB2312"/>
          <w:i w:val="0"/>
          <w:iCs w:val="0"/>
          <w:caps w:val="0"/>
          <w:color w:val="000000"/>
          <w:spacing w:val="0"/>
          <w:sz w:val="32"/>
          <w:szCs w:val="32"/>
        </w:rPr>
        <w:t>新丰水、忠信河、连平水、船塘河、骆湖水、灯塔水、林石河、大席水、崧头河、高陂水、大湖水、南坑溪以及恶马坑等13条</w:t>
      </w:r>
      <w:r>
        <w:rPr>
          <w:rFonts w:hint="eastAsia" w:ascii="CESI仿宋-GB2312" w:hAnsi="CESI仿宋-GB2312" w:eastAsia="CESI仿宋-GB2312" w:cs="CESI仿宋-GB2312"/>
          <w:i w:val="0"/>
          <w:iCs w:val="0"/>
          <w:caps w:val="0"/>
          <w:color w:val="000000"/>
          <w:spacing w:val="0"/>
          <w:sz w:val="32"/>
          <w:szCs w:val="32"/>
          <w:lang w:eastAsia="zh-CN"/>
        </w:rPr>
        <w:t>。</w:t>
      </w:r>
      <w:r>
        <w:rPr>
          <w:rFonts w:hint="eastAsia" w:ascii="CESI仿宋-GB2312" w:hAnsi="CESI仿宋-GB2312" w:eastAsia="CESI仿宋-GB2312" w:cs="CESI仿宋-GB2312"/>
          <w:bCs/>
          <w:kern w:val="2"/>
          <w:sz w:val="32"/>
          <w:szCs w:val="32"/>
          <w:highlight w:val="none"/>
          <w:lang w:val="en-US" w:eastAsia="zh-CN" w:bidi="ar-SA"/>
        </w:rPr>
        <w:t>新丰江水库水质长期稳定保持地表水Ⅰ类标准，是东江最重要的水源之一，也是东江中下游城市及香港等地四千多万人最重要的饮用水水源，被誉为“粤港水塔”，先后获评“中国优质饮用水资源开发基地”、首批“中国好水”水源地和“2021年广东省十大美丽河湖”等荣誉称号，新丰江水库水质保护意义重大。</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新丰江水库</w:t>
      </w:r>
      <w:r>
        <w:rPr>
          <w:rFonts w:hint="eastAsia" w:ascii="CESI仿宋-GB2312" w:hAnsi="CESI仿宋-GB2312" w:eastAsia="CESI仿宋-GB2312" w:cs="CESI仿宋-GB2312"/>
          <w:sz w:val="32"/>
          <w:szCs w:val="32"/>
          <w:lang w:eastAsia="zh-CN"/>
        </w:rPr>
        <w:t>优良</w:t>
      </w:r>
      <w:r>
        <w:rPr>
          <w:rFonts w:hint="eastAsia" w:ascii="CESI仿宋-GB2312" w:hAnsi="CESI仿宋-GB2312" w:eastAsia="CESI仿宋-GB2312" w:cs="CESI仿宋-GB2312"/>
          <w:sz w:val="32"/>
          <w:szCs w:val="32"/>
        </w:rPr>
        <w:t>水质来之不易</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随着东江流域经济社会快速发展，</w:t>
      </w:r>
      <w:r>
        <w:rPr>
          <w:rFonts w:hint="eastAsia" w:ascii="CESI仿宋-GB2312" w:hAnsi="CESI仿宋-GB2312" w:eastAsia="CESI仿宋-GB2312" w:cs="CESI仿宋-GB2312"/>
          <w:i w:val="0"/>
          <w:iCs w:val="0"/>
          <w:caps w:val="0"/>
          <w:color w:val="000000"/>
          <w:spacing w:val="0"/>
          <w:sz w:val="32"/>
          <w:szCs w:val="32"/>
        </w:rPr>
        <w:t>新丰江水库及其主要支流水质保护</w:t>
      </w:r>
      <w:r>
        <w:rPr>
          <w:rFonts w:hint="eastAsia" w:ascii="CESI仿宋-GB2312" w:hAnsi="CESI仿宋-GB2312" w:eastAsia="CESI仿宋-GB2312" w:cs="CESI仿宋-GB2312"/>
          <w:i w:val="0"/>
          <w:iCs w:val="0"/>
          <w:caps w:val="0"/>
          <w:color w:val="000000"/>
          <w:spacing w:val="0"/>
          <w:sz w:val="32"/>
          <w:szCs w:val="32"/>
          <w:lang w:eastAsia="zh-CN"/>
        </w:rPr>
        <w:t>工作、</w:t>
      </w:r>
      <w:r>
        <w:rPr>
          <w:rFonts w:hint="eastAsia" w:ascii="CESI仿宋-GB2312" w:hAnsi="CESI仿宋-GB2312" w:eastAsia="CESI仿宋-GB2312" w:cs="CESI仿宋-GB2312"/>
          <w:i w:val="0"/>
          <w:iCs w:val="0"/>
          <w:caps w:val="0"/>
          <w:color w:val="000000"/>
          <w:spacing w:val="0"/>
          <w:sz w:val="32"/>
          <w:szCs w:val="32"/>
        </w:rPr>
        <w:t>遏制氮磷污染</w:t>
      </w:r>
      <w:r>
        <w:rPr>
          <w:rFonts w:hint="eastAsia" w:ascii="CESI仿宋-GB2312" w:hAnsi="CESI仿宋-GB2312" w:eastAsia="CESI仿宋-GB2312" w:cs="CESI仿宋-GB2312"/>
          <w:sz w:val="32"/>
          <w:szCs w:val="32"/>
        </w:rPr>
        <w:t>面临巨大的压力，</w:t>
      </w:r>
      <w:r>
        <w:rPr>
          <w:rFonts w:hint="eastAsia" w:ascii="CESI仿宋-GB2312" w:hAnsi="CESI仿宋-GB2312" w:eastAsia="CESI仿宋-GB2312" w:cs="CESI仿宋-GB2312"/>
          <w:sz w:val="32"/>
          <w:szCs w:val="32"/>
          <w:lang w:eastAsia="zh-CN"/>
        </w:rPr>
        <w:t>水库</w:t>
      </w:r>
      <w:r>
        <w:rPr>
          <w:rFonts w:hint="eastAsia" w:ascii="CESI仿宋-GB2312" w:hAnsi="CESI仿宋-GB2312" w:eastAsia="CESI仿宋-GB2312" w:cs="CESI仿宋-GB2312"/>
          <w:sz w:val="32"/>
          <w:szCs w:val="32"/>
        </w:rPr>
        <w:t>水质安全</w:t>
      </w:r>
      <w:r>
        <w:rPr>
          <w:rFonts w:hint="eastAsia" w:ascii="CESI仿宋-GB2312" w:hAnsi="CESI仿宋-GB2312" w:eastAsia="CESI仿宋-GB2312" w:cs="CESI仿宋-GB2312"/>
          <w:sz w:val="32"/>
          <w:szCs w:val="32"/>
          <w:lang w:eastAsia="zh-CN"/>
        </w:rPr>
        <w:t>形势</w:t>
      </w:r>
      <w:r>
        <w:rPr>
          <w:rFonts w:hint="eastAsia" w:ascii="CESI仿宋-GB2312" w:hAnsi="CESI仿宋-GB2312" w:eastAsia="CESI仿宋-GB2312" w:cs="CESI仿宋-GB2312"/>
          <w:sz w:val="32"/>
          <w:szCs w:val="32"/>
        </w:rPr>
        <w:t>不容乐观。新丰江水库</w:t>
      </w:r>
      <w:r>
        <w:rPr>
          <w:rFonts w:hint="eastAsia" w:ascii="CESI仿宋-GB2312" w:hAnsi="CESI仿宋-GB2312" w:eastAsia="CESI仿宋-GB2312" w:cs="CESI仿宋-GB2312"/>
          <w:i w:val="0"/>
          <w:iCs w:val="0"/>
          <w:caps w:val="0"/>
          <w:color w:val="000000"/>
          <w:spacing w:val="0"/>
          <w:sz w:val="32"/>
          <w:szCs w:val="32"/>
        </w:rPr>
        <w:t>流域</w:t>
      </w:r>
      <w:r>
        <w:rPr>
          <w:rFonts w:hint="eastAsia" w:ascii="CESI仿宋-GB2312" w:hAnsi="CESI仿宋-GB2312" w:eastAsia="CESI仿宋-GB2312" w:cs="CESI仿宋-GB2312"/>
          <w:sz w:val="32"/>
          <w:szCs w:val="32"/>
        </w:rPr>
        <w:t>面临多种污染隐患</w:t>
      </w:r>
      <w:r>
        <w:rPr>
          <w:rFonts w:hint="eastAsia" w:ascii="CESI仿宋-GB2312" w:hAnsi="CESI仿宋-GB2312" w:eastAsia="CESI仿宋-GB2312" w:cs="CESI仿宋-GB2312"/>
          <w:sz w:val="32"/>
          <w:szCs w:val="32"/>
          <w:lang w:eastAsia="zh-CN"/>
        </w:rPr>
        <w:t>，包括</w:t>
      </w:r>
      <w:r>
        <w:rPr>
          <w:rFonts w:hint="eastAsia" w:ascii="CESI仿宋-GB2312" w:hAnsi="CESI仿宋-GB2312" w:eastAsia="CESI仿宋-GB2312" w:cs="CESI仿宋-GB2312"/>
          <w:i w:val="0"/>
          <w:iCs w:val="0"/>
          <w:caps w:val="0"/>
          <w:color w:val="000000"/>
          <w:spacing w:val="0"/>
          <w:sz w:val="32"/>
          <w:szCs w:val="32"/>
        </w:rPr>
        <w:t>畜禽养殖、农</w:t>
      </w:r>
      <w:r>
        <w:rPr>
          <w:rFonts w:hint="eastAsia" w:ascii="CESI仿宋-GB2312" w:hAnsi="CESI仿宋-GB2312" w:eastAsia="CESI仿宋-GB2312" w:cs="CESI仿宋-GB2312"/>
          <w:i w:val="0"/>
          <w:iCs w:val="0"/>
          <w:caps w:val="0"/>
          <w:color w:val="000000"/>
          <w:spacing w:val="0"/>
          <w:sz w:val="32"/>
          <w:szCs w:val="32"/>
          <w:lang w:eastAsia="zh-CN"/>
        </w:rPr>
        <w:t>业种植</w:t>
      </w:r>
      <w:r>
        <w:rPr>
          <w:rFonts w:hint="eastAsia" w:ascii="CESI仿宋-GB2312" w:hAnsi="CESI仿宋-GB2312" w:eastAsia="CESI仿宋-GB2312" w:cs="CESI仿宋-GB2312"/>
          <w:i w:val="0"/>
          <w:iCs w:val="0"/>
          <w:caps w:val="0"/>
          <w:color w:val="000000"/>
          <w:spacing w:val="0"/>
          <w:sz w:val="32"/>
          <w:szCs w:val="32"/>
        </w:rPr>
        <w:t>、桉树种植</w:t>
      </w:r>
      <w:r>
        <w:rPr>
          <w:rFonts w:hint="eastAsia" w:ascii="CESI仿宋-GB2312" w:hAnsi="CESI仿宋-GB2312" w:eastAsia="CESI仿宋-GB2312" w:cs="CESI仿宋-GB2312"/>
          <w:i w:val="0"/>
          <w:iCs w:val="0"/>
          <w:caps w:val="0"/>
          <w:color w:val="000000"/>
          <w:spacing w:val="0"/>
          <w:sz w:val="32"/>
          <w:szCs w:val="32"/>
          <w:lang w:eastAsia="zh-CN"/>
        </w:rPr>
        <w:t>等带来的污染物和</w:t>
      </w:r>
      <w:r>
        <w:rPr>
          <w:rFonts w:hint="eastAsia" w:ascii="CESI仿宋-GB2312" w:hAnsi="CESI仿宋-GB2312" w:eastAsia="CESI仿宋-GB2312" w:cs="CESI仿宋-GB2312"/>
          <w:i w:val="0"/>
          <w:iCs w:val="0"/>
          <w:caps w:val="0"/>
          <w:color w:val="000000"/>
          <w:spacing w:val="0"/>
          <w:sz w:val="32"/>
          <w:szCs w:val="32"/>
        </w:rPr>
        <w:t>生活垃圾、生活污水</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通过立法统筹推进新丰江水库水质保护，是推进生态文明建设的需要，也是确保具有战略地位的水库水质长久安全的需要。</w:t>
      </w:r>
    </w:p>
    <w:p>
      <w:pPr>
        <w:keepNext w:val="0"/>
        <w:keepLines w:val="0"/>
        <w:pageBreakBefore w:val="0"/>
        <w:kinsoku/>
        <w:wordWrap/>
        <w:overflowPunct/>
        <w:topLinePunct w:val="0"/>
        <w:autoSpaceDE/>
        <w:autoSpaceDN/>
        <w:bidi w:val="0"/>
        <w:spacing w:line="580" w:lineRule="exact"/>
        <w:ind w:firstLine="640" w:firstLineChars="200"/>
        <w:rPr>
          <w:rFonts w:hint="eastAsia" w:ascii="黑体" w:hAnsi="黑体" w:eastAsia="黑体" w:cs="黑体"/>
          <w:kern w:val="0"/>
          <w:szCs w:val="32"/>
          <w:lang w:bidi="ar"/>
        </w:rPr>
      </w:pPr>
      <w:r>
        <w:rPr>
          <w:rFonts w:hint="eastAsia" w:ascii="黑体" w:hAnsi="黑体" w:eastAsia="黑体" w:cs="黑体"/>
          <w:kern w:val="0"/>
          <w:szCs w:val="32"/>
          <w:lang w:bidi="ar"/>
        </w:rPr>
        <w:t>二、立法依据</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w:t>
      </w:r>
      <w:r>
        <w:rPr>
          <w:rFonts w:hint="eastAsia" w:ascii="CESI仿宋-GB2312" w:hAnsi="CESI仿宋-GB2312" w:eastAsia="CESI仿宋-GB2312" w:cs="CESI仿宋-GB2312"/>
          <w:sz w:val="32"/>
          <w:szCs w:val="32"/>
        </w:rPr>
        <w:t>《条例</w:t>
      </w:r>
      <w:r>
        <w:rPr>
          <w:rFonts w:hint="eastAsia" w:ascii="CESI仿宋-GB2312" w:hAnsi="CESI仿宋-GB2312" w:eastAsia="CESI仿宋-GB2312" w:cs="CESI仿宋-GB2312"/>
          <w:sz w:val="32"/>
          <w:szCs w:val="32"/>
          <w:lang w:eastAsia="zh-CN"/>
        </w:rPr>
        <w:t>（送审稿）</w:t>
      </w:r>
      <w:r>
        <w:rPr>
          <w:rFonts w:hint="eastAsia" w:ascii="CESI仿宋-GB2312" w:hAnsi="CESI仿宋-GB2312" w:eastAsia="CESI仿宋-GB2312" w:cs="CESI仿宋-GB2312"/>
          <w:sz w:val="32"/>
          <w:szCs w:val="32"/>
        </w:rPr>
        <w:t>》的起草</w:t>
      </w:r>
      <w:r>
        <w:rPr>
          <w:rFonts w:hint="eastAsia" w:ascii="CESI仿宋-GB2312" w:hAnsi="CESI仿宋-GB2312" w:eastAsia="CESI仿宋-GB2312" w:cs="CESI仿宋-GB2312"/>
          <w:sz w:val="32"/>
          <w:szCs w:val="32"/>
          <w:lang w:eastAsia="zh-CN"/>
        </w:rPr>
        <w:t>的依据主要</w:t>
      </w:r>
      <w:r>
        <w:rPr>
          <w:rFonts w:hint="eastAsia" w:ascii="CESI仿宋-GB2312" w:hAnsi="CESI仿宋-GB2312" w:eastAsia="CESI仿宋-GB2312" w:cs="CESI仿宋-GB2312"/>
          <w:sz w:val="32"/>
          <w:szCs w:val="32"/>
        </w:rPr>
        <w:t>有：</w:t>
      </w:r>
      <w:r>
        <w:rPr>
          <w:rFonts w:hint="eastAsia" w:ascii="CESI仿宋-GB2312" w:hAnsi="CESI仿宋-GB2312" w:eastAsia="CESI仿宋-GB2312" w:cs="CESI仿宋-GB2312"/>
          <w:sz w:val="32"/>
          <w:szCs w:val="32"/>
          <w:lang w:eastAsia="zh-CN"/>
        </w:rPr>
        <w:t>《中华人民共和国</w:t>
      </w:r>
      <w:r>
        <w:rPr>
          <w:rFonts w:hint="eastAsia" w:ascii="CESI仿宋-GB2312" w:hAnsi="CESI仿宋-GB2312" w:eastAsia="CESI仿宋-GB2312" w:cs="CESI仿宋-GB2312"/>
          <w:sz w:val="32"/>
          <w:szCs w:val="32"/>
          <w:lang w:val="en-US" w:eastAsia="zh-CN"/>
        </w:rPr>
        <w:t>环境保护法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中华人民共和国</w:t>
      </w:r>
      <w:r>
        <w:rPr>
          <w:rFonts w:hint="eastAsia" w:ascii="CESI仿宋-GB2312" w:hAnsi="CESI仿宋-GB2312" w:eastAsia="CESI仿宋-GB2312" w:cs="CESI仿宋-GB2312"/>
          <w:sz w:val="32"/>
          <w:szCs w:val="32"/>
          <w:lang w:val="en-US" w:eastAsia="zh-CN"/>
        </w:rPr>
        <w:t>水污染防治法》《</w:t>
      </w:r>
      <w:r>
        <w:rPr>
          <w:rFonts w:hint="eastAsia" w:ascii="CESI仿宋-GB2312" w:hAnsi="CESI仿宋-GB2312" w:eastAsia="CESI仿宋-GB2312" w:cs="CESI仿宋-GB2312"/>
          <w:sz w:val="32"/>
          <w:szCs w:val="32"/>
          <w:lang w:eastAsia="zh-CN"/>
        </w:rPr>
        <w:t>中华人民共和国</w:t>
      </w:r>
      <w:r>
        <w:rPr>
          <w:rFonts w:hint="eastAsia" w:ascii="CESI仿宋-GB2312" w:hAnsi="CESI仿宋-GB2312" w:eastAsia="CESI仿宋-GB2312" w:cs="CESI仿宋-GB2312"/>
          <w:sz w:val="32"/>
          <w:szCs w:val="32"/>
          <w:lang w:val="en-US" w:eastAsia="zh-CN"/>
        </w:rPr>
        <w:t>水法》等法律法规。</w:t>
      </w:r>
    </w:p>
    <w:p>
      <w:pPr>
        <w:keepNext w:val="0"/>
        <w:keepLines w:val="0"/>
        <w:pageBreakBefore w:val="0"/>
        <w:kinsoku/>
        <w:wordWrap/>
        <w:overflowPunct/>
        <w:topLinePunct w:val="0"/>
        <w:autoSpaceDE/>
        <w:autoSpaceDN/>
        <w:bidi w:val="0"/>
        <w:spacing w:line="580" w:lineRule="exact"/>
        <w:ind w:firstLine="640" w:firstLineChars="200"/>
        <w:rPr>
          <w:rFonts w:hint="eastAsia" w:ascii="黑体" w:hAnsi="黑体" w:eastAsia="黑体" w:cs="黑体"/>
          <w:kern w:val="0"/>
          <w:szCs w:val="32"/>
          <w:lang w:bidi="ar"/>
        </w:rPr>
      </w:pPr>
      <w:r>
        <w:rPr>
          <w:rFonts w:hint="eastAsia" w:ascii="黑体" w:hAnsi="黑体" w:eastAsia="黑体" w:cs="黑体"/>
          <w:kern w:val="0"/>
          <w:szCs w:val="32"/>
          <w:lang w:bidi="ar"/>
        </w:rPr>
        <w:t>三、《条例（</w:t>
      </w:r>
      <w:r>
        <w:rPr>
          <w:rFonts w:hint="eastAsia" w:ascii="黑体" w:hAnsi="黑体" w:eastAsia="黑体" w:cs="黑体"/>
          <w:kern w:val="0"/>
          <w:szCs w:val="32"/>
          <w:lang w:eastAsia="zh-CN" w:bidi="ar"/>
        </w:rPr>
        <w:t>送审稿</w:t>
      </w:r>
      <w:r>
        <w:rPr>
          <w:rFonts w:hint="eastAsia" w:ascii="黑体" w:hAnsi="黑体" w:eastAsia="黑体" w:cs="黑体"/>
          <w:kern w:val="0"/>
          <w:szCs w:val="32"/>
          <w:lang w:bidi="ar"/>
        </w:rPr>
        <w:t>）》起草过程</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我市全力推进河源市新丰江水库水质保护立法工作，深入开展立法前期调研。</w:t>
      </w:r>
      <w:r>
        <w:rPr>
          <w:rFonts w:hint="eastAsia" w:ascii="CESI仿宋-GB2312" w:hAnsi="CESI仿宋-GB2312" w:eastAsia="CESI仿宋-GB2312" w:cs="CESI仿宋-GB2312"/>
          <w:sz w:val="32"/>
          <w:szCs w:val="32"/>
          <w:lang w:eastAsia="zh-CN"/>
        </w:rPr>
        <w:t>一是先后到省内汕尾、湛江、茂名等有水库水质保护和立法先进经验的</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个城市调研学习；二是召开座谈会，广泛听取市住建、交通运输、水务、农业农村、文广旅体、市移民、河源海事局等单位立法的意见建议；向</w:t>
      </w:r>
      <w:r>
        <w:rPr>
          <w:rFonts w:hint="eastAsia" w:ascii="CESI仿宋-GB2312" w:hAnsi="CESI仿宋-GB2312" w:eastAsia="CESI仿宋-GB2312" w:cs="CESI仿宋-GB2312"/>
          <w:sz w:val="32"/>
          <w:szCs w:val="32"/>
          <w:lang w:val="en-US" w:eastAsia="zh-CN"/>
        </w:rPr>
        <w:t>源城区、东源县、连平县、和平县等4个县区，</w:t>
      </w:r>
      <w:r>
        <w:rPr>
          <w:rFonts w:hint="eastAsia" w:ascii="CESI仿宋-GB2312" w:hAnsi="CESI仿宋-GB2312" w:eastAsia="CESI仿宋-GB2312" w:cs="CESI仿宋-GB2312"/>
          <w:sz w:val="32"/>
          <w:szCs w:val="32"/>
          <w:lang w:eastAsia="zh-CN"/>
        </w:rPr>
        <w:t>市发改、工信、</w:t>
      </w:r>
      <w:r>
        <w:rPr>
          <w:rFonts w:hint="eastAsia" w:ascii="CESI仿宋-GB2312" w:hAnsi="CESI仿宋-GB2312" w:eastAsia="CESI仿宋-GB2312" w:cs="CESI仿宋-GB2312"/>
          <w:sz w:val="32"/>
          <w:szCs w:val="32"/>
          <w:lang w:val="en-US" w:eastAsia="zh-CN"/>
        </w:rPr>
        <w:t>自然资源、林业、气象、公安、卫健、城管综合执法、新丰江林管局等16个部门书面征求立法意见和建议。</w:t>
      </w:r>
      <w:r>
        <w:rPr>
          <w:rFonts w:hint="eastAsia" w:ascii="CESI仿宋-GB2312" w:hAnsi="CESI仿宋-GB2312" w:eastAsia="CESI仿宋-GB2312" w:cs="CESI仿宋-GB2312"/>
          <w:sz w:val="32"/>
          <w:szCs w:val="32"/>
          <w:lang w:eastAsia="zh-CN"/>
        </w:rPr>
        <w:t>三是到东源县、连平县开展立法实地调研，完成了《条例（送审稿）》起草工作；四是于</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lang w:eastAsia="zh-CN"/>
        </w:rPr>
        <w:t>月</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8日至</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lang w:eastAsia="zh-CN"/>
        </w:rPr>
        <w:t>月</w:t>
      </w:r>
      <w:r>
        <w:rPr>
          <w:rFonts w:hint="eastAsia" w:ascii="CESI仿宋-GB2312" w:hAnsi="CESI仿宋-GB2312" w:eastAsia="CESI仿宋-GB2312" w:cs="CESI仿宋-GB2312"/>
          <w:sz w:val="32"/>
          <w:szCs w:val="32"/>
          <w:lang w:val="en-US" w:eastAsia="zh-CN"/>
        </w:rPr>
        <w:t>28</w:t>
      </w:r>
      <w:r>
        <w:rPr>
          <w:rFonts w:hint="eastAsia" w:ascii="CESI仿宋-GB2312" w:hAnsi="CESI仿宋-GB2312" w:eastAsia="CESI仿宋-GB2312" w:cs="CESI仿宋-GB2312"/>
          <w:sz w:val="32"/>
          <w:szCs w:val="32"/>
          <w:lang w:eastAsia="zh-CN"/>
        </w:rPr>
        <w:t>日期间征求了各县（区）人民政府（管委会）和市各相关单位意见，同时通过河源市政府门户网向社会公开征求意见；五是</w:t>
      </w:r>
      <w:r>
        <w:rPr>
          <w:rFonts w:hint="eastAsia" w:ascii="CESI仿宋-GB2312" w:hAnsi="CESI仿宋-GB2312" w:eastAsia="CESI仿宋-GB2312" w:cs="CESI仿宋-GB2312"/>
          <w:sz w:val="32"/>
          <w:szCs w:val="32"/>
          <w:lang w:val="en-US" w:eastAsia="zh-CN"/>
        </w:rPr>
        <w:t>11月3日</w:t>
      </w:r>
      <w:r>
        <w:rPr>
          <w:rFonts w:hint="eastAsia" w:ascii="CESI仿宋-GB2312" w:hAnsi="CESI仿宋-GB2312" w:eastAsia="CESI仿宋-GB2312" w:cs="CESI仿宋-GB2312"/>
          <w:sz w:val="32"/>
          <w:szCs w:val="32"/>
          <w:lang w:eastAsia="zh-CN"/>
        </w:rPr>
        <w:t>召开了专家论证会，与相关县区和市直有关部门进行充分研究讨论，并对送审稿进一步修改完善；六是</w:t>
      </w:r>
      <w:r>
        <w:rPr>
          <w:rFonts w:hint="eastAsia" w:ascii="CESI仿宋-GB2312" w:hAnsi="CESI仿宋-GB2312" w:eastAsia="CESI仿宋-GB2312" w:cs="CESI仿宋-GB2312"/>
          <w:sz w:val="32"/>
          <w:szCs w:val="32"/>
          <w:lang w:val="en-US" w:eastAsia="zh-CN"/>
        </w:rPr>
        <w:t>11月9日通过了局党组会议，并根据会议要求进行了进一步修改，形成《条例（送审稿）》。</w:t>
      </w:r>
    </w:p>
    <w:p>
      <w:pPr>
        <w:keepNext w:val="0"/>
        <w:keepLines w:val="0"/>
        <w:pageBreakBefore w:val="0"/>
        <w:kinsoku/>
        <w:wordWrap/>
        <w:overflowPunct/>
        <w:topLinePunct w:val="0"/>
        <w:autoSpaceDE/>
        <w:autoSpaceDN/>
        <w:bidi w:val="0"/>
        <w:spacing w:line="580" w:lineRule="exact"/>
        <w:ind w:firstLine="640" w:firstLineChars="200"/>
        <w:rPr>
          <w:rFonts w:hint="eastAsia" w:ascii="黑体" w:hAnsi="黑体" w:eastAsia="黑体" w:cs="黑体"/>
          <w:kern w:val="0"/>
          <w:szCs w:val="32"/>
          <w:lang w:bidi="ar"/>
        </w:rPr>
      </w:pPr>
      <w:r>
        <w:rPr>
          <w:rFonts w:hint="eastAsia" w:ascii="黑体" w:hAnsi="黑体" w:eastAsia="黑体" w:cs="黑体"/>
          <w:kern w:val="0"/>
          <w:szCs w:val="32"/>
          <w:lang w:bidi="ar"/>
        </w:rPr>
        <w:t>四、《条例（</w:t>
      </w:r>
      <w:r>
        <w:rPr>
          <w:rFonts w:hint="eastAsia" w:ascii="黑体" w:hAnsi="黑体" w:eastAsia="黑体" w:cs="黑体"/>
          <w:kern w:val="0"/>
          <w:szCs w:val="32"/>
          <w:lang w:eastAsia="zh-CN" w:bidi="ar"/>
        </w:rPr>
        <w:t>送审稿</w:t>
      </w:r>
      <w:r>
        <w:rPr>
          <w:rFonts w:hint="eastAsia" w:ascii="黑体" w:hAnsi="黑体" w:eastAsia="黑体" w:cs="黑体"/>
          <w:kern w:val="0"/>
          <w:szCs w:val="32"/>
          <w:lang w:bidi="ar"/>
        </w:rPr>
        <w:t>）》整体框架和重点内容</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条例结合河源实际，坚持以问题为导向，力求突出重点、精准立法。条例共八章五十七条，主要内容和特点如下：</w:t>
      </w:r>
    </w:p>
    <w:p>
      <w:pPr>
        <w:pStyle w:val="6"/>
        <w:keepNext w:val="0"/>
        <w:keepLines w:val="0"/>
        <w:pageBreakBefore w:val="0"/>
        <w:widowControl/>
        <w:kinsoku/>
        <w:wordWrap/>
        <w:overflowPunct/>
        <w:topLinePunct w:val="0"/>
        <w:autoSpaceDE/>
        <w:autoSpaceDN/>
        <w:bidi w:val="0"/>
        <w:spacing w:line="580" w:lineRule="exact"/>
        <w:ind w:firstLine="640" w:firstLineChars="200"/>
        <w:outlineLvl w:val="9"/>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（一）第一章 总则，共九条 ；本章主要明确条例适用范围、各级政府及部门职责。在遵循上位法有关部门职责规定的前提下，结合我市实际，明确了各级政府、村（居）民委员会新丰江水库水质保护的工作责任，形成齐抓共管工作格局，有效提升监管合力。</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kern w:val="2"/>
          <w:sz w:val="32"/>
          <w:szCs w:val="32"/>
          <w:lang w:val="en-US" w:eastAsia="zh-CN" w:bidi="ar-SA"/>
        </w:rPr>
        <w:t>亮点：</w:t>
      </w:r>
      <w:r>
        <w:rPr>
          <w:rFonts w:hint="eastAsia" w:ascii="CESI仿宋-GB2312" w:hAnsi="CESI仿宋-GB2312" w:eastAsia="CESI仿宋-GB2312" w:cs="CESI仿宋-GB2312"/>
          <w:kern w:val="2"/>
          <w:sz w:val="32"/>
          <w:szCs w:val="32"/>
          <w:lang w:val="en-US" w:eastAsia="zh-CN" w:bidi="ar-SA"/>
        </w:rPr>
        <w:t>提出建立水库水质保护联席会议制度，加强协同管理。</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（二）第二章 水库饮用水水源保护区，共三条；本章根据省政府批复提出饮用水源保护区一级、二级保护区保护范围；准保护区的具体边界、保护范围调整情况由政府向社会公布。</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（三）第三章 规划与管控，共六条；本章提出实施新丰江水库水生态环境保护总体方案或规划，统筹协调水质保护与经济社会发展。</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kern w:val="2"/>
          <w:sz w:val="32"/>
          <w:szCs w:val="32"/>
          <w:lang w:val="en-US" w:eastAsia="zh-CN"/>
        </w:rPr>
        <w:t>特点</w:t>
      </w:r>
      <w:r>
        <w:rPr>
          <w:rFonts w:hint="eastAsia" w:ascii="仿宋_GB2312" w:hAnsi="宋体" w:eastAsia="仿宋_GB2312" w:cs="仿宋_GB2312"/>
          <w:b w:val="0"/>
          <w:bCs w:val="0"/>
          <w:kern w:val="2"/>
          <w:sz w:val="32"/>
          <w:szCs w:val="32"/>
          <w:lang w:val="en-US" w:eastAsia="zh-CN"/>
        </w:rPr>
        <w:t>：</w:t>
      </w:r>
      <w:r>
        <w:rPr>
          <w:rFonts w:hint="eastAsia" w:ascii="CESI仿宋-GB2312" w:hAnsi="CESI仿宋-GB2312" w:eastAsia="CESI仿宋-GB2312" w:cs="CESI仿宋-GB2312"/>
          <w:kern w:val="2"/>
          <w:sz w:val="32"/>
          <w:szCs w:val="32"/>
          <w:lang w:val="en-US" w:eastAsia="zh-CN" w:bidi="ar-SA"/>
        </w:rPr>
        <w:t>强化国土空间规划和用途管控、水库船舶总量控制。</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（四）第四章 生态保护与污染防治，共十五条；本章提出建立县区联防联控机制，加强生态保护，控制污染。</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kern w:val="2"/>
          <w:sz w:val="32"/>
          <w:szCs w:val="32"/>
          <w:lang w:val="en-US" w:eastAsia="zh-CN"/>
        </w:rPr>
        <w:t>特点：</w:t>
      </w:r>
      <w:r>
        <w:rPr>
          <w:rFonts w:hint="eastAsia" w:ascii="CESI仿宋-GB2312" w:hAnsi="CESI仿宋-GB2312" w:eastAsia="CESI仿宋-GB2312" w:cs="CESI仿宋-GB2312"/>
          <w:kern w:val="2"/>
          <w:sz w:val="32"/>
          <w:szCs w:val="32"/>
          <w:lang w:val="en-US" w:eastAsia="zh-CN" w:bidi="ar-SA"/>
        </w:rPr>
        <w:t>严控水库流域畜禽养殖、农村面源、桉树种植、生活垃圾、生活污水等污染。</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（五）第五章 绿色发展，共五条；本章提出以绿色发展实现源头控制污染。</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kern w:val="2"/>
          <w:sz w:val="32"/>
          <w:szCs w:val="32"/>
          <w:lang w:val="en-US" w:eastAsia="zh-CN" w:bidi="ar-SA"/>
        </w:rPr>
        <w:t>特点</w:t>
      </w:r>
      <w:r>
        <w:rPr>
          <w:rFonts w:hint="eastAsia" w:ascii="仿宋_GB2312" w:hAnsi="宋体" w:eastAsia="仿宋_GB2312" w:cs="仿宋_GB2312"/>
          <w:b w:val="0"/>
          <w:bCs w:val="0"/>
          <w:kern w:val="2"/>
          <w:sz w:val="32"/>
          <w:szCs w:val="32"/>
          <w:lang w:val="en-US" w:eastAsia="zh-CN" w:bidi="ar-SA"/>
        </w:rPr>
        <w:t>：</w:t>
      </w:r>
      <w:r>
        <w:rPr>
          <w:rFonts w:hint="eastAsia" w:ascii="CESI仿宋-GB2312" w:hAnsi="CESI仿宋-GB2312" w:eastAsia="CESI仿宋-GB2312" w:cs="CESI仿宋-GB2312"/>
          <w:kern w:val="2"/>
          <w:sz w:val="32"/>
          <w:szCs w:val="32"/>
          <w:lang w:val="en-US" w:eastAsia="zh-CN" w:bidi="ar-SA"/>
        </w:rPr>
        <w:t>对重点行业（农业、林业、旅游业）明确绿色发展要求。</w:t>
      </w:r>
    </w:p>
    <w:p>
      <w:pPr>
        <w:pStyle w:val="10"/>
        <w:keepNext w:val="0"/>
        <w:keepLines w:val="0"/>
        <w:pageBreakBefore w:val="0"/>
        <w:kinsoku/>
        <w:wordWrap/>
        <w:overflowPunct/>
        <w:topLinePunct w:val="0"/>
        <w:autoSpaceDE/>
        <w:autoSpaceDN/>
        <w:bidi w:val="0"/>
        <w:spacing w:line="580" w:lineRule="exact"/>
        <w:ind w:firstLine="63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第六章 保障与监督，共六条；本章提出加强河长制、目标责任制、水库风险监控防范保障措施，加强部门监管和人大监督。</w:t>
      </w:r>
    </w:p>
    <w:p>
      <w:pPr>
        <w:keepNext w:val="0"/>
        <w:keepLines w:val="0"/>
        <w:pageBreakBefore w:val="0"/>
        <w:kinsoku/>
        <w:wordWrap/>
        <w:overflowPunct/>
        <w:topLinePunct w:val="0"/>
        <w:autoSpaceDE/>
        <w:autoSpaceDN/>
        <w:bidi w:val="0"/>
        <w:spacing w:line="580" w:lineRule="exact"/>
        <w:ind w:firstLine="64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kern w:val="2"/>
          <w:sz w:val="32"/>
          <w:szCs w:val="32"/>
          <w:lang w:val="en-US" w:eastAsia="zh-CN" w:bidi="ar-SA"/>
        </w:rPr>
        <w:t>亮点：</w:t>
      </w:r>
      <w:r>
        <w:rPr>
          <w:rFonts w:hint="eastAsia" w:ascii="CESI仿宋-GB2312" w:hAnsi="CESI仿宋-GB2312" w:eastAsia="CESI仿宋-GB2312" w:cs="CESI仿宋-GB2312"/>
          <w:kern w:val="2"/>
          <w:sz w:val="32"/>
          <w:szCs w:val="32"/>
          <w:lang w:val="en-US" w:eastAsia="zh-CN" w:bidi="ar-SA"/>
        </w:rPr>
        <w:t>提出上位法未涉及的增殖放流备案管理（第四十三条）。</w:t>
      </w:r>
    </w:p>
    <w:p>
      <w:pPr>
        <w:keepNext w:val="0"/>
        <w:keepLines w:val="0"/>
        <w:pageBreakBefore w:val="0"/>
        <w:numPr>
          <w:ilvl w:val="0"/>
          <w:numId w:val="2"/>
        </w:numPr>
        <w:kinsoku/>
        <w:wordWrap/>
        <w:overflowPunct/>
        <w:topLinePunct w:val="0"/>
        <w:autoSpaceDE/>
        <w:autoSpaceDN/>
        <w:bidi w:val="0"/>
        <w:spacing w:line="580" w:lineRule="exact"/>
        <w:ind w:firstLine="640" w:firstLineChars="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第七章 法律责任，共十条；本章根据上位法设置了罚款、责令停产整治、强制拆除、责令改正等责任条款。</w:t>
      </w:r>
    </w:p>
    <w:p>
      <w:pPr>
        <w:keepNext w:val="0"/>
        <w:keepLines w:val="0"/>
        <w:pageBreakBefore w:val="0"/>
        <w:numPr>
          <w:ilvl w:val="0"/>
          <w:numId w:val="0"/>
        </w:numPr>
        <w:kinsoku/>
        <w:wordWrap/>
        <w:overflowPunct/>
        <w:topLinePunct w:val="0"/>
        <w:autoSpaceDE/>
        <w:autoSpaceDN/>
        <w:bidi w:val="0"/>
        <w:spacing w:line="580" w:lineRule="exact"/>
        <w:ind w:firstLine="642" w:firstLineChars="200"/>
        <w:rPr>
          <w:rFonts w:hint="eastAsia" w:ascii="CESI仿宋-GB2312" w:hAnsi="CESI仿宋-GB2312" w:eastAsia="CESI仿宋-GB2312" w:cs="CESI仿宋-GB2312"/>
          <w:kern w:val="2"/>
          <w:sz w:val="32"/>
          <w:szCs w:val="32"/>
          <w:lang w:val="en-US" w:eastAsia="zh-CN" w:bidi="ar-SA"/>
        </w:rPr>
      </w:pPr>
      <w:r>
        <w:rPr>
          <w:rFonts w:hint="eastAsia" w:ascii="仿宋_GB2312" w:hAnsi="宋体" w:eastAsia="仿宋_GB2312" w:cs="仿宋_GB2312"/>
          <w:b/>
          <w:bCs/>
          <w:spacing w:val="0"/>
          <w:kern w:val="2"/>
          <w:sz w:val="32"/>
          <w:szCs w:val="32"/>
          <w:lang w:val="en-US" w:eastAsia="zh-CN"/>
        </w:rPr>
        <w:t>特点：</w:t>
      </w:r>
      <w:r>
        <w:rPr>
          <w:rFonts w:hint="eastAsia" w:ascii="CESI仿宋-GB2312" w:hAnsi="CESI仿宋-GB2312" w:eastAsia="CESI仿宋-GB2312" w:cs="CESI仿宋-GB2312"/>
          <w:kern w:val="2"/>
          <w:sz w:val="32"/>
          <w:szCs w:val="32"/>
          <w:lang w:val="en-US" w:eastAsia="zh-CN" w:bidi="ar-SA"/>
        </w:rPr>
        <w:t>一是新设了两项行政处罚（第五十一条、第五十三条），包括对上位法未涉及的擅自引进外来物种或者其他非本地物种种质资源的；养殖专业户、畜禽散养户未采取有效措施，导致畜禽粪便、污水渗漏、溢流、散落的</w:t>
      </w:r>
      <w:bookmarkStart w:id="1" w:name="_GoBack"/>
      <w:bookmarkEnd w:id="1"/>
      <w:r>
        <w:rPr>
          <w:rFonts w:hint="eastAsia" w:ascii="CESI仿宋-GB2312" w:hAnsi="CESI仿宋-GB2312" w:eastAsia="CESI仿宋-GB2312" w:cs="CESI仿宋-GB2312"/>
          <w:kern w:val="2"/>
          <w:sz w:val="32"/>
          <w:szCs w:val="32"/>
          <w:lang w:val="en-US" w:eastAsia="zh-CN" w:bidi="ar-SA"/>
        </w:rPr>
        <w:t>行为予以处罚。二是依法委托（集中）行使行政处罚（第五十三条、第五十五条）。三是细化上位法对未按照水质监测规范从事水质监测活动造成监测数据失实，隐瞒、伪造、篡改水质监测数据等弄虚作假的行为予以处罚（第五十四条）。四是针对违法排污处罚后继续违法或者拒绝阻挠复查的违法行为实施按日连续处罚，提高违法成本（第五十条）。</w:t>
      </w:r>
    </w:p>
    <w:p>
      <w:pPr>
        <w:pStyle w:val="2"/>
        <w:keepNext w:val="0"/>
        <w:keepLines w:val="0"/>
        <w:pageBreakBefore w:val="0"/>
        <w:kinsoku/>
        <w:wordWrap/>
        <w:overflowPunct/>
        <w:topLinePunct w:val="0"/>
        <w:autoSpaceDE/>
        <w:autoSpaceDN/>
        <w:bidi w:val="0"/>
        <w:spacing w:line="580" w:lineRule="exact"/>
        <w:ind w:firstLine="640" w:firstLineChars="200"/>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五、征求意见</w:t>
      </w:r>
      <w:r>
        <w:rPr>
          <w:rFonts w:hint="eastAsia" w:eastAsia="黑体" w:cs="黑体"/>
          <w:color w:val="auto"/>
          <w:kern w:val="0"/>
          <w:sz w:val="32"/>
          <w:szCs w:val="32"/>
          <w:lang w:val="en-US" w:eastAsia="zh-CN" w:bidi="ar"/>
        </w:rPr>
        <w:t>采纳</w:t>
      </w:r>
      <w:r>
        <w:rPr>
          <w:rFonts w:hint="eastAsia" w:ascii="黑体" w:hAnsi="黑体" w:eastAsia="黑体" w:cs="黑体"/>
          <w:color w:val="auto"/>
          <w:kern w:val="0"/>
          <w:sz w:val="32"/>
          <w:szCs w:val="32"/>
          <w:lang w:val="en-US" w:eastAsia="zh-CN" w:bidi="ar"/>
        </w:rPr>
        <w:t>汇总情况</w:t>
      </w:r>
    </w:p>
    <w:p>
      <w:pPr>
        <w:keepNext w:val="0"/>
        <w:keepLines w:val="0"/>
        <w:pageBreakBefore w:val="0"/>
        <w:widowControl w:val="0"/>
        <w:tabs>
          <w:tab w:val="left" w:pos="7500"/>
        </w:tabs>
        <w:kinsoku/>
        <w:wordWrap/>
        <w:overflowPunct/>
        <w:topLinePunct w:val="0"/>
        <w:autoSpaceDE/>
        <w:autoSpaceDN/>
        <w:bidi w:val="0"/>
        <w:spacing w:line="580" w:lineRule="exact"/>
        <w:ind w:right="0" w:rightChars="0" w:firstLine="640" w:firstLineChars="200"/>
        <w:jc w:val="left"/>
        <w:textAlignment w:val="auto"/>
        <w:outlineLvl w:val="9"/>
        <w:rPr>
          <w:rFonts w:hint="eastAsia" w:ascii="CESI仿宋-GB2312" w:hAnsi="CESI仿宋-GB2312" w:eastAsia="CESI仿宋-GB2312" w:cs="CESI仿宋-GB2312"/>
          <w:kern w:val="2"/>
          <w:sz w:val="32"/>
          <w:szCs w:val="32"/>
          <w:lang w:val="en-US" w:eastAsia="zh-CN" w:bidi="ar-SA"/>
        </w:rPr>
      </w:pPr>
      <w:r>
        <w:rPr>
          <w:rFonts w:hint="eastAsia" w:ascii="仿宋" w:hAnsi="仿宋" w:eastAsia="仿宋" w:cs="仿宋"/>
          <w:sz w:val="32"/>
          <w:szCs w:val="32"/>
        </w:rPr>
        <w:t>《</w:t>
      </w:r>
      <w:r>
        <w:rPr>
          <w:rFonts w:hint="eastAsia" w:ascii="CESI仿宋-GB2312" w:hAnsi="CESI仿宋-GB2312" w:eastAsia="CESI仿宋-GB2312" w:cs="CESI仿宋-GB2312"/>
          <w:kern w:val="2"/>
          <w:sz w:val="32"/>
          <w:szCs w:val="32"/>
          <w:lang w:val="en-US" w:eastAsia="zh-CN" w:bidi="ar-SA"/>
        </w:rPr>
        <w:t>条例（征求意见稿）》于9月28日至10月28日期间征求了各县（区）人民政府（管委会）和市各相关单位意见，同时通过河源市政府门户网向社会公开征求意见，社会公开征求意见期间未收到有修改意见；在征求各县（区）人民政府（管委会）和市各相关单位共24个单位意见及召开专家论证会议后，最新归纳汇总修改意见共有11条，具体意见反馈采纳汇总情况见《&lt;河源市新丰江水库水质保护条例&gt;（草案）反馈意见采纳情况汇总表》。</w:t>
      </w:r>
    </w:p>
    <w:p>
      <w:pPr>
        <w:pStyle w:val="2"/>
        <w:keepNext w:val="0"/>
        <w:keepLines w:val="0"/>
        <w:pageBreakBefore w:val="0"/>
        <w:kinsoku/>
        <w:wordWrap/>
        <w:overflowPunct/>
        <w:topLinePunct w:val="0"/>
        <w:autoSpaceDE/>
        <w:autoSpaceDN/>
        <w:bidi w:val="0"/>
        <w:spacing w:line="580" w:lineRule="exact"/>
        <w:ind w:firstLine="640" w:firstLineChars="200"/>
        <w:rPr>
          <w:rFonts w:hint="eastAsia"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w:t>
      </w:r>
      <w:r>
        <w:rPr>
          <w:rFonts w:hint="eastAsia" w:eastAsia="黑体" w:cs="黑体"/>
          <w:color w:val="auto"/>
          <w:kern w:val="0"/>
          <w:sz w:val="32"/>
          <w:szCs w:val="32"/>
          <w:lang w:val="en-US" w:eastAsia="zh-CN" w:bidi="ar"/>
        </w:rPr>
        <w:t>内部法制部门审查意见</w:t>
      </w:r>
    </w:p>
    <w:p>
      <w:pPr>
        <w:pStyle w:val="2"/>
        <w:keepNext w:val="0"/>
        <w:keepLines w:val="0"/>
        <w:pageBreakBefore w:val="0"/>
        <w:kinsoku/>
        <w:wordWrap/>
        <w:overflowPunct/>
        <w:topLinePunct w:val="0"/>
        <w:autoSpaceDE/>
        <w:autoSpaceDN/>
        <w:bidi w:val="0"/>
        <w:spacing w:line="580" w:lineRule="exact"/>
        <w:ind w:firstLine="640" w:firstLineChars="200"/>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我局法律顾问、政策法规科对《条例（送审稿）》进行了合法性审查，一致认为《条例（送审稿）》未发现有违反上位法律法规的内容，内容合法。</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F608B"/>
    <w:multiLevelType w:val="singleLevel"/>
    <w:tmpl w:val="BE9F608B"/>
    <w:lvl w:ilvl="0" w:tentative="0">
      <w:start w:val="6"/>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77745"/>
    <w:rsid w:val="1FED7053"/>
    <w:rsid w:val="251F5635"/>
    <w:rsid w:val="31DA0300"/>
    <w:rsid w:val="4FFAC5AA"/>
    <w:rsid w:val="54F96950"/>
    <w:rsid w:val="62257A9A"/>
    <w:rsid w:val="63477745"/>
    <w:rsid w:val="73EB7445"/>
    <w:rsid w:val="7B6C3B9F"/>
    <w:rsid w:val="7B82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keepNext/>
      <w:keepLines/>
      <w:numPr>
        <w:ilvl w:val="0"/>
        <w:numId w:val="1"/>
      </w:numPr>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黑体" w:hAnsi="黑体" w:eastAsia="宋体" w:cs="Times New Roman"/>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customStyle="1" w:styleId="9">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0">
    <w:name w:val="正文 New New New New New New New New New New New New New New New"/>
    <w:qFormat/>
    <w:uiPriority w:val="0"/>
    <w:pPr>
      <w:widowControl w:val="0"/>
      <w:jc w:val="both"/>
    </w:pPr>
    <w:rPr>
      <w:rFonts w:ascii="Times New Roman" w:hAnsi="Times New Roman" w:eastAsia="仿宋_GB2312" w:cs="等线 Light"/>
      <w:kern w:val="2"/>
      <w:sz w:val="32"/>
      <w:szCs w:val="32"/>
      <w:lang w:val="en-US" w:eastAsia="zh-CN" w:bidi="ar-SA"/>
    </w:rPr>
  </w:style>
  <w:style w:type="paragraph" w:customStyle="1" w:styleId="11">
    <w:name w:val="正文文本缩进 New New"/>
    <w:qFormat/>
    <w:uiPriority w:val="0"/>
    <w:pPr>
      <w:widowControl w:val="0"/>
      <w:spacing w:line="590" w:lineRule="exact"/>
      <w:ind w:firstLine="632" w:firstLineChars="200"/>
      <w:jc w:val="both"/>
    </w:pPr>
    <w:rPr>
      <w:rFonts w:ascii="Times New Roman" w:hAnsi="Times New Roman" w:eastAsia="楷体_GB2312" w:cs="等线 Light"/>
      <w:kern w:val="2"/>
      <w:sz w:val="32"/>
      <w:lang w:val="en-US" w:eastAsia="zh-CN" w:bidi="ar-SA"/>
    </w:rPr>
  </w:style>
  <w:style w:type="paragraph" w:customStyle="1" w:styleId="12">
    <w:name w:val="正文：三号仿宋"/>
    <w:qFormat/>
    <w:uiPriority w:val="0"/>
    <w:pPr>
      <w:widowControl w:val="0"/>
      <w:ind w:firstLine="632"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河源市环境保护局</Company>
  <Pages>1</Pages>
  <Words>0</Words>
  <Characters>0</Characters>
  <Lines>0</Lines>
  <Paragraphs>0</Paragraphs>
  <TotalTime>28</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2020-10-16T23:17:00Z</dcterms:created>
  <dc:creator>何秀娟</dc:creator>
  <cp:lastModifiedBy>sfj</cp:lastModifiedBy>
  <cp:lastPrinted>2020-10-20T17:36:00Z</cp:lastPrinted>
  <dcterms:modified xsi:type="dcterms:W3CDTF">2023-12-05T10:33:49Z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