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黑体" w:hAnsi="黑体" w:eastAsia="黑体" w:cs="黑体"/>
          <w:color w:val="000000" w:themeColor="text1"/>
          <w:spacing w:val="10"/>
          <w:sz w:val="43"/>
          <w:szCs w:val="43"/>
        </w:rPr>
      </w:pPr>
      <w:r>
        <w:rPr>
          <w:rFonts w:hint="eastAsia" w:ascii="黑体" w:hAnsi="黑体" w:eastAsia="黑体" w:cs="黑体"/>
          <w:color w:val="000000" w:themeColor="text1"/>
          <w:spacing w:val="10"/>
          <w:sz w:val="43"/>
          <w:szCs w:val="43"/>
        </w:rPr>
        <w:t>河源市区征收土地青苗和地上附着物补偿标准</w:t>
      </w:r>
    </w:p>
    <w:p>
      <w:pPr>
        <w:spacing w:beforeLines="50" w:afterLines="100"/>
        <w:jc w:val="center"/>
        <w:rPr>
          <w:rFonts w:ascii="黑体" w:hAnsi="黑体" w:eastAsia="黑体" w:cs="黑体"/>
          <w:color w:val="000000" w:themeColor="text1"/>
          <w:sz w:val="40"/>
          <w:szCs w:val="43"/>
        </w:rPr>
      </w:pPr>
      <w:r>
        <w:rPr>
          <w:rFonts w:hint="eastAsia" w:ascii="黑体" w:hAnsi="黑体" w:eastAsia="黑体" w:cs="黑体"/>
          <w:color w:val="000000" w:themeColor="text1"/>
          <w:spacing w:val="10"/>
          <w:sz w:val="40"/>
          <w:szCs w:val="43"/>
        </w:rPr>
        <w:t>（</w:t>
      </w:r>
      <w:r>
        <w:rPr>
          <w:rFonts w:hint="eastAsia" w:ascii="黑体" w:hAnsi="黑体" w:eastAsia="黑体" w:cs="黑体"/>
          <w:color w:val="000000" w:themeColor="text1"/>
          <w:spacing w:val="10"/>
          <w:sz w:val="40"/>
          <w:szCs w:val="43"/>
          <w:lang w:eastAsia="zh-CN"/>
        </w:rPr>
        <w:t>征求意见稿</w:t>
      </w:r>
      <w:bookmarkStart w:id="0" w:name="_GoBack"/>
      <w:bookmarkEnd w:id="0"/>
      <w:r>
        <w:rPr>
          <w:rFonts w:hint="eastAsia" w:ascii="黑体" w:hAnsi="黑体" w:eastAsia="黑体" w:cs="黑体"/>
          <w:color w:val="000000" w:themeColor="text1"/>
          <w:spacing w:val="10"/>
          <w:sz w:val="40"/>
          <w:szCs w:val="43"/>
        </w:rPr>
        <w:t>）</w:t>
      </w:r>
    </w:p>
    <w:p>
      <w:pPr>
        <w:spacing w:line="360" w:lineRule="auto"/>
        <w:ind w:left="57" w:firstLine="560"/>
        <w:jc w:val="both"/>
        <w:rPr>
          <w:rFonts w:ascii="仿宋" w:hAnsi="仿宋" w:eastAsia="仿宋" w:cs="仿宋"/>
          <w:color w:val="000000" w:themeColor="text1"/>
          <w:spacing w:val="-2"/>
          <w:sz w:val="28"/>
          <w:szCs w:val="28"/>
        </w:rPr>
      </w:pPr>
      <w:r>
        <w:rPr>
          <w:rFonts w:ascii="仿宋" w:hAnsi="仿宋" w:eastAsia="仿宋" w:cs="仿宋"/>
          <w:color w:val="000000" w:themeColor="text1"/>
          <w:spacing w:val="-2"/>
          <w:sz w:val="28"/>
          <w:szCs w:val="28"/>
        </w:rPr>
        <w:t>为了进一步规范</w:t>
      </w:r>
      <w:r>
        <w:rPr>
          <w:rFonts w:hint="eastAsia" w:ascii="仿宋" w:hAnsi="仿宋" w:eastAsia="仿宋" w:cs="仿宋"/>
          <w:color w:val="000000" w:themeColor="text1"/>
          <w:spacing w:val="-2"/>
          <w:sz w:val="28"/>
          <w:szCs w:val="28"/>
        </w:rPr>
        <w:t>河源</w:t>
      </w:r>
      <w:r>
        <w:rPr>
          <w:rFonts w:ascii="仿宋" w:hAnsi="仿宋" w:eastAsia="仿宋" w:cs="仿宋"/>
          <w:color w:val="000000" w:themeColor="text1"/>
          <w:spacing w:val="-2"/>
          <w:sz w:val="28"/>
          <w:szCs w:val="28"/>
        </w:rPr>
        <w:t>市</w:t>
      </w:r>
      <w:r>
        <w:rPr>
          <w:rFonts w:hint="eastAsia" w:ascii="仿宋" w:hAnsi="仿宋" w:eastAsia="仿宋" w:cs="仿宋"/>
          <w:color w:val="000000" w:themeColor="text1"/>
          <w:spacing w:val="-2"/>
          <w:sz w:val="28"/>
          <w:szCs w:val="28"/>
        </w:rPr>
        <w:t>区</w:t>
      </w:r>
      <w:r>
        <w:rPr>
          <w:rFonts w:ascii="仿宋" w:hAnsi="仿宋" w:eastAsia="仿宋" w:cs="仿宋"/>
          <w:color w:val="000000" w:themeColor="text1"/>
          <w:spacing w:val="-2"/>
          <w:sz w:val="28"/>
          <w:szCs w:val="28"/>
        </w:rPr>
        <w:t>征收土地青苗</w:t>
      </w:r>
      <w:r>
        <w:rPr>
          <w:rFonts w:hint="eastAsia" w:ascii="仿宋" w:hAnsi="仿宋" w:eastAsia="仿宋" w:cs="仿宋"/>
          <w:color w:val="000000" w:themeColor="text1"/>
          <w:spacing w:val="-2"/>
          <w:sz w:val="28"/>
          <w:szCs w:val="28"/>
        </w:rPr>
        <w:t>和</w:t>
      </w:r>
      <w:r>
        <w:rPr>
          <w:rFonts w:ascii="仿宋" w:hAnsi="仿宋" w:eastAsia="仿宋" w:cs="仿宋"/>
          <w:color w:val="000000" w:themeColor="text1"/>
          <w:spacing w:val="-2"/>
          <w:sz w:val="28"/>
          <w:szCs w:val="28"/>
        </w:rPr>
        <w:t>地上附着物补偿标准，维护被征地农村集体经济组织、农民及其他权利人的合法权益，促进社会经济和谐发展，根据《中华人民共和国土地管理法》、《中华人民共和国土地管理法实施条例》、《广东省土地管理条例》等有关法律、法规，结合</w:t>
      </w:r>
      <w:r>
        <w:rPr>
          <w:rFonts w:hint="eastAsia" w:ascii="仿宋" w:hAnsi="仿宋" w:eastAsia="仿宋" w:cs="仿宋"/>
          <w:color w:val="000000" w:themeColor="text1"/>
          <w:spacing w:val="-2"/>
          <w:sz w:val="28"/>
          <w:szCs w:val="28"/>
        </w:rPr>
        <w:t>河源</w:t>
      </w:r>
      <w:r>
        <w:rPr>
          <w:rFonts w:ascii="仿宋" w:hAnsi="仿宋" w:eastAsia="仿宋" w:cs="仿宋"/>
          <w:color w:val="000000" w:themeColor="text1"/>
          <w:spacing w:val="-2"/>
          <w:sz w:val="28"/>
          <w:szCs w:val="28"/>
        </w:rPr>
        <w:t>市</w:t>
      </w:r>
      <w:r>
        <w:rPr>
          <w:rFonts w:hint="eastAsia" w:ascii="仿宋" w:hAnsi="仿宋" w:eastAsia="仿宋" w:cs="仿宋"/>
          <w:color w:val="000000" w:themeColor="text1"/>
          <w:spacing w:val="-2"/>
          <w:sz w:val="28"/>
          <w:szCs w:val="28"/>
        </w:rPr>
        <w:t>区</w:t>
      </w:r>
      <w:r>
        <w:rPr>
          <w:rFonts w:ascii="仿宋" w:hAnsi="仿宋" w:eastAsia="仿宋" w:cs="仿宋"/>
          <w:color w:val="000000" w:themeColor="text1"/>
          <w:spacing w:val="-2"/>
          <w:sz w:val="28"/>
          <w:szCs w:val="28"/>
        </w:rPr>
        <w:t>实际制定本标准。</w:t>
      </w:r>
    </w:p>
    <w:p>
      <w:pPr>
        <w:spacing w:beforeLines="100" w:line="360" w:lineRule="auto"/>
        <w:ind w:left="57" w:firstLine="561"/>
        <w:outlineLvl w:val="0"/>
        <w:rPr>
          <w:rFonts w:ascii="仿宋" w:hAnsi="仿宋" w:eastAsia="仿宋" w:cs="仿宋"/>
          <w:b/>
          <w:color w:val="000000" w:themeColor="text1"/>
          <w:sz w:val="28"/>
          <w:szCs w:val="28"/>
        </w:rPr>
      </w:pPr>
      <w:r>
        <w:rPr>
          <w:rFonts w:hint="eastAsia" w:ascii="仿宋" w:hAnsi="仿宋" w:eastAsia="仿宋" w:cs="仿宋"/>
          <w:b/>
          <w:color w:val="000000" w:themeColor="text1"/>
          <w:spacing w:val="-2"/>
          <w:sz w:val="28"/>
          <w:szCs w:val="28"/>
        </w:rPr>
        <w:t>一</w:t>
      </w:r>
      <w:r>
        <w:rPr>
          <w:rFonts w:ascii="仿宋" w:hAnsi="仿宋" w:eastAsia="仿宋" w:cs="仿宋"/>
          <w:b/>
          <w:color w:val="000000" w:themeColor="text1"/>
          <w:spacing w:val="-2"/>
          <w:sz w:val="28"/>
          <w:szCs w:val="28"/>
        </w:rPr>
        <w:t>、青苗</w:t>
      </w:r>
      <w:r>
        <w:rPr>
          <w:rFonts w:ascii="仿宋" w:hAnsi="仿宋" w:eastAsia="仿宋" w:cs="仿宋"/>
          <w:b/>
          <w:color w:val="000000" w:themeColor="text1"/>
          <w:spacing w:val="-1"/>
          <w:sz w:val="28"/>
          <w:szCs w:val="28"/>
        </w:rPr>
        <w:t>补偿标准</w:t>
      </w:r>
    </w:p>
    <w:p>
      <w:pPr>
        <w:spacing w:line="360" w:lineRule="auto"/>
        <w:ind w:left="588"/>
        <w:outlineLvl w:val="1"/>
        <w:rPr>
          <w:rFonts w:ascii="仿宋" w:hAnsi="仿宋" w:eastAsia="仿宋" w:cs="仿宋"/>
          <w:b/>
          <w:color w:val="000000" w:themeColor="text1"/>
          <w:sz w:val="28"/>
          <w:szCs w:val="28"/>
        </w:rPr>
      </w:pPr>
      <w:r>
        <w:rPr>
          <w:rFonts w:ascii="仿宋" w:hAnsi="仿宋" w:eastAsia="仿宋" w:cs="仿宋"/>
          <w:b/>
          <w:color w:val="000000" w:themeColor="text1"/>
          <w:spacing w:val="32"/>
          <w:sz w:val="28"/>
          <w:szCs w:val="28"/>
        </w:rPr>
        <w:t>(</w:t>
      </w:r>
      <w:r>
        <w:rPr>
          <w:rFonts w:ascii="仿宋" w:hAnsi="仿宋" w:eastAsia="仿宋" w:cs="仿宋"/>
          <w:b/>
          <w:color w:val="000000" w:themeColor="text1"/>
          <w:spacing w:val="31"/>
          <w:sz w:val="28"/>
          <w:szCs w:val="28"/>
        </w:rPr>
        <w:t>一)</w:t>
      </w:r>
      <w:r>
        <w:rPr>
          <w:rFonts w:hint="eastAsia" w:ascii="仿宋" w:hAnsi="仿宋" w:eastAsia="仿宋" w:cs="仿宋"/>
          <w:b/>
          <w:color w:val="000000" w:themeColor="text1"/>
          <w:spacing w:val="31"/>
          <w:sz w:val="28"/>
          <w:szCs w:val="28"/>
        </w:rPr>
        <w:t>一般农作物</w:t>
      </w:r>
      <w:r>
        <w:rPr>
          <w:rFonts w:ascii="仿宋" w:hAnsi="仿宋" w:eastAsia="仿宋" w:cs="仿宋"/>
          <w:b/>
          <w:color w:val="000000" w:themeColor="text1"/>
          <w:spacing w:val="31"/>
          <w:sz w:val="28"/>
          <w:szCs w:val="28"/>
        </w:rPr>
        <w:t>补偿</w:t>
      </w:r>
    </w:p>
    <w:p>
      <w:pPr>
        <w:spacing w:line="360" w:lineRule="auto"/>
        <w:ind w:left="48" w:firstLine="572"/>
        <w:rPr>
          <w:rFonts w:ascii="Times New Roman" w:hAnsi="Times New Roman" w:cs="Times New Roman" w:eastAsiaTheme="minorEastAsia"/>
          <w:color w:val="000000" w:themeColor="text1"/>
          <w:spacing w:val="-10"/>
          <w:sz w:val="28"/>
          <w:szCs w:val="28"/>
        </w:rPr>
      </w:pPr>
      <w:r>
        <w:rPr>
          <w:rFonts w:hint="eastAsia" w:ascii="仿宋" w:hAnsi="仿宋" w:eastAsia="仿宋" w:cs="仿宋"/>
          <w:color w:val="000000" w:themeColor="text1"/>
          <w:spacing w:val="-10"/>
          <w:sz w:val="28"/>
          <w:szCs w:val="28"/>
        </w:rPr>
        <w:t>分谷类作物、叶菜类作物、茄瓜类作物、豆类作物、根茎类作物，按亩进行补偿。</w:t>
      </w:r>
      <w:r>
        <w:rPr>
          <w:rFonts w:ascii="仿宋" w:hAnsi="仿宋" w:eastAsia="仿宋" w:cs="仿宋"/>
          <w:color w:val="000000" w:themeColor="text1"/>
          <w:spacing w:val="-8"/>
          <w:sz w:val="28"/>
          <w:szCs w:val="28"/>
        </w:rPr>
        <w:t>具体标准见</w:t>
      </w:r>
      <w:r>
        <w:rPr>
          <w:rFonts w:hint="eastAsia" w:ascii="仿宋" w:hAnsi="仿宋" w:eastAsia="仿宋" w:cs="仿宋"/>
          <w:color w:val="000000" w:themeColor="text1"/>
          <w:spacing w:val="-8"/>
          <w:sz w:val="28"/>
          <w:szCs w:val="28"/>
        </w:rPr>
        <w:t>下表。</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表1：一般农作物补偿标准表</w:t>
      </w:r>
    </w:p>
    <w:tbl>
      <w:tblPr>
        <w:tblStyle w:val="8"/>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36"/>
        <w:gridCol w:w="2859"/>
        <w:gridCol w:w="246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序号</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作物类型</w:t>
            </w:r>
          </w:p>
        </w:tc>
        <w:tc>
          <w:tcPr>
            <w:tcW w:w="2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种植产品</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补偿标准（元/亩）</w:t>
            </w:r>
          </w:p>
        </w:tc>
        <w:tc>
          <w:tcPr>
            <w:tcW w:w="200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1</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谷类作物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稻谷、玉米等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bCs/>
                <w:color w:val="000000" w:themeColor="text1"/>
                <w:sz w:val="22"/>
                <w:szCs w:val="22"/>
              </w:rPr>
            </w:pPr>
            <w:r>
              <w:rPr>
                <w:rFonts w:hint="eastAsia" w:ascii="仿宋" w:hAnsi="仿宋" w:eastAsia="仿宋"/>
                <w:bCs/>
                <w:color w:val="000000" w:themeColor="text1"/>
                <w:sz w:val="22"/>
                <w:szCs w:val="22"/>
              </w:rPr>
              <w:t>2500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2</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叶菜类作物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空心菜、大白菜、苋菜、葱、蒜、芥菜、菜心、韭菜、芹菜、枸杞等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2600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3</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茄瓜类作物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西红柿、茄子、辣椒、丝瓜、苦瓜、冬瓜、南瓜、青瓜、节瓜、葫芦瓜等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2600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4</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豆类作物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豌豆、四季豆、扁豆、青豆、花生、黄豆、黑豆、绿豆、红豆、芝麻等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2500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5</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根茎类作物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番薯、沙葛、莲藕、萝卜、淮山、芋头、马铃薯、姜、马蹄等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2400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rPr>
            </w:pPr>
            <w:r>
              <w:rPr>
                <w:rFonts w:hint="eastAsia" w:ascii="仿宋" w:hAnsi="仿宋" w:eastAsia="仿宋" w:cs="宋体"/>
                <w:b/>
                <w:snapToGrid/>
                <w:color w:val="000000" w:themeColor="text1"/>
                <w:sz w:val="24"/>
              </w:rPr>
              <w:t>说明</w:t>
            </w:r>
          </w:p>
        </w:tc>
        <w:tc>
          <w:tcPr>
            <w:tcW w:w="90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ascii="仿宋" w:hAnsi="仿宋" w:eastAsia="仿宋" w:cs="宋体"/>
                <w:snapToGrid/>
                <w:color w:val="000000" w:themeColor="text1"/>
                <w:sz w:val="24"/>
              </w:rPr>
              <w:t>1.</w:t>
            </w:r>
            <w:r>
              <w:rPr>
                <w:rFonts w:hint="eastAsia" w:ascii="仿宋" w:hAnsi="仿宋" w:eastAsia="仿宋" w:cs="宋体"/>
                <w:snapToGrid/>
                <w:color w:val="000000" w:themeColor="text1"/>
                <w:sz w:val="24"/>
              </w:rPr>
              <w:t>混种地块以一种主作物（地块内占比最多的作物）作为补偿标准，地块内其它种类青苗不再补偿；</w:t>
            </w:r>
          </w:p>
          <w:p>
            <w:pPr>
              <w:kinsoku/>
              <w:autoSpaceDE/>
              <w:autoSpaceDN/>
              <w:adjustRightInd/>
              <w:snapToGrid/>
              <w:textAlignment w:val="auto"/>
              <w:rPr>
                <w:rFonts w:ascii="仿宋" w:hAnsi="仿宋" w:eastAsia="仿宋" w:cs="宋体"/>
                <w:snapToGrid/>
                <w:color w:val="000000" w:themeColor="text1"/>
                <w:sz w:val="24"/>
              </w:rPr>
            </w:pPr>
            <w:r>
              <w:rPr>
                <w:rFonts w:ascii="仿宋" w:hAnsi="仿宋" w:eastAsia="仿宋" w:cs="宋体"/>
                <w:snapToGrid/>
                <w:color w:val="000000" w:themeColor="text1"/>
                <w:sz w:val="24"/>
              </w:rPr>
              <w:t>2.</w:t>
            </w:r>
            <w:r>
              <w:rPr>
                <w:rFonts w:hint="eastAsia" w:ascii="仿宋" w:hAnsi="仿宋" w:eastAsia="仿宋" w:cs="宋体"/>
                <w:snapToGrid/>
                <w:color w:val="000000" w:themeColor="text1"/>
                <w:sz w:val="24"/>
              </w:rPr>
              <w:t>对于此标准未覆盖的品种，补偿标准可參照相近品种的标准；个别特殊作物或种植方式（如大棚种植、智能化种植等）应根据具体情况由有资质的机构评估并报批后确定。</w:t>
            </w:r>
          </w:p>
        </w:tc>
      </w:tr>
    </w:tbl>
    <w:p>
      <w:pPr>
        <w:spacing w:line="360" w:lineRule="auto"/>
        <w:ind w:left="588"/>
        <w:rPr>
          <w:rFonts w:ascii="仿宋" w:hAnsi="仿宋" w:eastAsia="仿宋" w:cs="仿宋"/>
          <w:color w:val="000000" w:themeColor="text1"/>
          <w:spacing w:val="26"/>
          <w:sz w:val="28"/>
          <w:szCs w:val="28"/>
        </w:rPr>
      </w:pPr>
      <w:r>
        <w:rPr>
          <w:rFonts w:hint="eastAsia" w:ascii="仿宋" w:hAnsi="仿宋" w:eastAsia="仿宋" w:cs="仿宋"/>
          <w:color w:val="000000" w:themeColor="text1"/>
          <w:spacing w:val="26"/>
          <w:sz w:val="28"/>
          <w:szCs w:val="28"/>
        </w:rPr>
        <w:t xml:space="preserve">                                         </w:t>
      </w:r>
    </w:p>
    <w:p>
      <w:pPr>
        <w:spacing w:line="360" w:lineRule="auto"/>
        <w:ind w:left="588"/>
        <w:outlineLvl w:val="1"/>
        <w:rPr>
          <w:rFonts w:ascii="仿宋" w:hAnsi="仿宋" w:eastAsia="仿宋" w:cs="仿宋"/>
          <w:b/>
          <w:color w:val="000000" w:themeColor="text1"/>
          <w:sz w:val="28"/>
          <w:szCs w:val="28"/>
        </w:rPr>
      </w:pPr>
      <w:r>
        <w:rPr>
          <w:rFonts w:ascii="仿宋" w:hAnsi="仿宋" w:eastAsia="仿宋" w:cs="仿宋"/>
          <w:b/>
          <w:color w:val="000000" w:themeColor="text1"/>
          <w:spacing w:val="26"/>
          <w:sz w:val="28"/>
          <w:szCs w:val="28"/>
        </w:rPr>
        <w:t>(</w:t>
      </w:r>
      <w:r>
        <w:rPr>
          <w:rFonts w:ascii="仿宋" w:hAnsi="仿宋" w:eastAsia="仿宋" w:cs="仿宋"/>
          <w:b/>
          <w:color w:val="000000" w:themeColor="text1"/>
          <w:spacing w:val="17"/>
          <w:sz w:val="28"/>
          <w:szCs w:val="28"/>
        </w:rPr>
        <w:t>二)果树木补偿标准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6"/>
          <w:sz w:val="28"/>
          <w:szCs w:val="28"/>
        </w:rPr>
        <w:t>果树木按照清点数量、相应规格和补偿标准计算补偿费，计算的补偿费总额低于每亩最高补偿标准的，按计算的补偿费总额补偿，高于每亩最高补偿标准的，按每亩最高补偿标准补偿。</w:t>
      </w:r>
      <w:r>
        <w:rPr>
          <w:rFonts w:ascii="仿宋" w:hAnsi="仿宋" w:eastAsia="仿宋" w:cs="仿宋"/>
          <w:color w:val="000000" w:themeColor="text1"/>
          <w:spacing w:val="-11"/>
          <w:sz w:val="28"/>
          <w:szCs w:val="28"/>
        </w:rPr>
        <w:t>属</w:t>
      </w:r>
      <w:r>
        <w:rPr>
          <w:rFonts w:hint="eastAsia" w:ascii="仿宋" w:hAnsi="仿宋" w:eastAsia="仿宋" w:cs="仿宋"/>
          <w:color w:val="000000" w:themeColor="text1"/>
          <w:spacing w:val="-11"/>
          <w:sz w:val="28"/>
          <w:szCs w:val="28"/>
        </w:rPr>
        <w:t>成片种植</w:t>
      </w:r>
      <w:r>
        <w:rPr>
          <w:rFonts w:ascii="仿宋" w:hAnsi="仿宋" w:eastAsia="仿宋" w:cs="仿宋"/>
          <w:color w:val="000000" w:themeColor="text1"/>
          <w:spacing w:val="-11"/>
          <w:sz w:val="28"/>
          <w:szCs w:val="28"/>
        </w:rPr>
        <w:t>的果树木，按每亩补偿标准计算补偿；</w:t>
      </w:r>
      <w:r>
        <w:rPr>
          <w:rFonts w:ascii="仿宋" w:hAnsi="仿宋" w:eastAsia="仿宋" w:cs="仿宋"/>
          <w:color w:val="000000" w:themeColor="text1"/>
          <w:spacing w:val="-1"/>
          <w:sz w:val="28"/>
          <w:szCs w:val="28"/>
        </w:rPr>
        <w:t>属零星</w:t>
      </w:r>
      <w:r>
        <w:rPr>
          <w:rFonts w:hint="eastAsia" w:ascii="仿宋" w:hAnsi="仿宋" w:eastAsia="仿宋" w:cs="仿宋"/>
          <w:color w:val="000000" w:themeColor="text1"/>
          <w:spacing w:val="-1"/>
          <w:sz w:val="28"/>
          <w:szCs w:val="28"/>
        </w:rPr>
        <w:t>种植</w:t>
      </w:r>
      <w:r>
        <w:rPr>
          <w:rFonts w:ascii="仿宋" w:hAnsi="仿宋" w:eastAsia="仿宋" w:cs="仿宋"/>
          <w:color w:val="000000" w:themeColor="text1"/>
          <w:spacing w:val="-1"/>
          <w:sz w:val="28"/>
          <w:szCs w:val="28"/>
        </w:rPr>
        <w:t>的果树木，</w:t>
      </w:r>
      <w:r>
        <w:rPr>
          <w:rFonts w:ascii="仿宋" w:hAnsi="仿宋" w:eastAsia="仿宋" w:cs="仿宋"/>
          <w:color w:val="000000" w:themeColor="text1"/>
          <w:spacing w:val="-6"/>
          <w:sz w:val="28"/>
          <w:szCs w:val="28"/>
        </w:rPr>
        <w:t>按每棵补偿标准</w:t>
      </w:r>
      <w:r>
        <w:rPr>
          <w:rFonts w:ascii="仿宋" w:hAnsi="仿宋" w:eastAsia="仿宋" w:cs="仿宋"/>
          <w:color w:val="000000" w:themeColor="text1"/>
          <w:spacing w:val="-5"/>
          <w:sz w:val="28"/>
          <w:szCs w:val="28"/>
        </w:rPr>
        <w:t>计</w:t>
      </w:r>
      <w:r>
        <w:rPr>
          <w:rFonts w:ascii="仿宋" w:hAnsi="仿宋" w:eastAsia="仿宋" w:cs="仿宋"/>
          <w:color w:val="000000" w:themeColor="text1"/>
          <w:spacing w:val="-3"/>
          <w:sz w:val="28"/>
          <w:szCs w:val="28"/>
        </w:rPr>
        <w:t>算补偿；凡超过每亩最高补偿标准的部分或已死亡的各</w:t>
      </w:r>
      <w:r>
        <w:rPr>
          <w:rFonts w:ascii="仿宋" w:hAnsi="仿宋" w:eastAsia="仿宋" w:cs="仿宋"/>
          <w:color w:val="000000" w:themeColor="text1"/>
          <w:spacing w:val="1"/>
          <w:sz w:val="28"/>
          <w:szCs w:val="28"/>
        </w:rPr>
        <w:t>类种植物不予补偿；</w:t>
      </w:r>
      <w:r>
        <w:rPr>
          <w:rFonts w:hint="eastAsia" w:ascii="仿宋" w:hAnsi="仿宋" w:eastAsia="仿宋" w:cs="仿宋"/>
          <w:color w:val="000000" w:themeColor="text1"/>
          <w:spacing w:val="1"/>
          <w:sz w:val="28"/>
          <w:szCs w:val="28"/>
        </w:rPr>
        <w:t>混种地块</w:t>
      </w:r>
      <w:r>
        <w:rPr>
          <w:rFonts w:ascii="仿宋" w:hAnsi="仿宋" w:eastAsia="仿宋" w:cs="仿宋"/>
          <w:color w:val="000000" w:themeColor="text1"/>
          <w:sz w:val="28"/>
          <w:szCs w:val="28"/>
        </w:rPr>
        <w:t>，一般以种植最多</w:t>
      </w:r>
      <w:r>
        <w:rPr>
          <w:rFonts w:ascii="仿宋" w:hAnsi="仿宋" w:eastAsia="仿宋" w:cs="仿宋"/>
          <w:color w:val="000000" w:themeColor="text1"/>
          <w:spacing w:val="-8"/>
          <w:sz w:val="28"/>
          <w:szCs w:val="28"/>
        </w:rPr>
        <w:t>的青苗作为补偿的品种，不以品种分类作重复计补；被征收土地上的果</w:t>
      </w:r>
      <w:r>
        <w:rPr>
          <w:rFonts w:ascii="仿宋" w:hAnsi="仿宋" w:eastAsia="仿宋" w:cs="仿宋"/>
          <w:color w:val="000000" w:themeColor="text1"/>
          <w:spacing w:val="-3"/>
          <w:sz w:val="28"/>
          <w:szCs w:val="28"/>
        </w:rPr>
        <w:t>树</w:t>
      </w:r>
      <w:r>
        <w:rPr>
          <w:rFonts w:ascii="仿宋" w:hAnsi="仿宋" w:eastAsia="仿宋" w:cs="仿宋"/>
          <w:color w:val="000000" w:themeColor="text1"/>
          <w:spacing w:val="-10"/>
          <w:sz w:val="28"/>
          <w:szCs w:val="28"/>
        </w:rPr>
        <w:t>等在规定期限种植人自行砍伐、搬迁的，果树等材料归物主所有；</w:t>
      </w:r>
      <w:r>
        <w:rPr>
          <w:rFonts w:ascii="仿宋" w:hAnsi="仿宋" w:eastAsia="仿宋" w:cs="仿宋"/>
          <w:color w:val="000000" w:themeColor="text1"/>
          <w:spacing w:val="-12"/>
          <w:sz w:val="28"/>
          <w:szCs w:val="28"/>
        </w:rPr>
        <w:t>逾</w:t>
      </w:r>
      <w:r>
        <w:rPr>
          <w:rFonts w:ascii="仿宋" w:hAnsi="仿宋" w:eastAsia="仿宋" w:cs="仿宋"/>
          <w:color w:val="000000" w:themeColor="text1"/>
          <w:spacing w:val="-8"/>
          <w:sz w:val="28"/>
          <w:szCs w:val="28"/>
        </w:rPr>
        <w:t>期的，由征地单位按规定处理。具体标准见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表2：果树木补偿标准表</w:t>
      </w:r>
    </w:p>
    <w:tbl>
      <w:tblPr>
        <w:tblStyle w:val="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44"/>
        <w:gridCol w:w="3174"/>
        <w:gridCol w:w="1503"/>
        <w:gridCol w:w="133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3174"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规格</w:t>
            </w:r>
          </w:p>
        </w:tc>
        <w:tc>
          <w:tcPr>
            <w:tcW w:w="1503"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零星种植</w:t>
            </w:r>
          </w:p>
        </w:tc>
        <w:tc>
          <w:tcPr>
            <w:tcW w:w="2962"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成片种植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3174"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03"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补偿标准（元∕棵）</w:t>
            </w:r>
          </w:p>
        </w:tc>
        <w:tc>
          <w:tcPr>
            <w:tcW w:w="133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种植密度（棵/亩）</w:t>
            </w:r>
          </w:p>
        </w:tc>
        <w:tc>
          <w:tcPr>
            <w:tcW w:w="162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最高补偿标准（元/亩）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荔枝、龙眼</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特大棵（挂果，胸径超过30cm）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大棵（挂果，胸径20-30cm(含)）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中棵（挂果，胸径10-20cm(含)）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740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小棵（挂果，胸径小于10cm(含)）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黄皮、沙梨、枇杷、柿子、橄榄、番石榴、栗树、芒果</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特大棵（挂果，胸径超过25cm）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大棵（挂果，胸径15-25cm(含)）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48</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中棵（挂果，胸径5-15cm(含)）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小棵（胸径小于5cm(含)）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3</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桃、李、梅、杨桃、枣、柚子、柠檬、杨梅</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特大棵（挂果，胸径超过20cm）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大棵（挂果，胸径10-20cm(含)）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中棵（挂果，胸径5-10cm(含)）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小棵（挂果，胸径小于5cm(含)）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4</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柑、桔、橙、人参果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特大棵（挂果，树高大于2.0m）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大棵（挂果，树高1.5-2.0m(含)）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中棵（挂果，树高1-1.5m(含)）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小棵（挂果，树高小1m(含)）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5</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沙糖桔</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已挂果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幼(树高0.5m以下，</w:t>
            </w:r>
            <w:r>
              <w:rPr>
                <w:rFonts w:hint="eastAsia" w:ascii="仿宋" w:hAnsi="仿宋" w:eastAsia="仿宋" w:cs="宋体"/>
                <w:snapToGrid/>
                <w:color w:val="000000" w:themeColor="text1"/>
                <w:sz w:val="24"/>
                <w:szCs w:val="24"/>
              </w:rPr>
              <w:t>含0.5m</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6</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火龙果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大（挂果，种植5年及以上有水泥架）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中（挂果，种植4年及以上有水泥架）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小（挂果，种植2年及以上有水泥架）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幼（种植不足2年，有水泥架）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7</w:t>
            </w:r>
          </w:p>
        </w:tc>
        <w:tc>
          <w:tcPr>
            <w:tcW w:w="1544" w:type="dxa"/>
            <w:vMerge w:val="restart"/>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百香果</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大（挂果，种植2年及以上）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中（挂果，种植1年及以上）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小（未挂果，种植1年及以上）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35</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8</w:t>
            </w:r>
          </w:p>
        </w:tc>
        <w:tc>
          <w:tcPr>
            <w:tcW w:w="1544" w:type="dxa"/>
            <w:vMerge w:val="restart"/>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葡萄</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大（挂果，种植2年及以上）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130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中（挂果，种植1年及以上）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小（未挂果，种植1年及以上）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35</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9</w:t>
            </w:r>
          </w:p>
        </w:tc>
        <w:tc>
          <w:tcPr>
            <w:tcW w:w="1544"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甘蔗</w:t>
            </w:r>
          </w:p>
        </w:tc>
        <w:tc>
          <w:tcPr>
            <w:tcW w:w="3174"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10</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大蕉、香蕉、粉蕉、木瓜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大（挂果，树高大于1.5m(含)）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中（未挂果，树高大于1.5m(含)）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幼苗（树高小于1.5m）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11</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茶树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大棵（冠幅1m以上）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中棵（冠幅0.3-1m(含)）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小棵（冠幅0.3m(含)以下）</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12</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油茶</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大（冠幅1.5m以上）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中（冠幅0.5-1.5m(含)）</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小（冠幅0.5m及以下，挂果）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13</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桑葚树</w:t>
            </w: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已挂果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幼(树高1m以下，含1m)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14</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蚕桑树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大(胸径4cm及以上)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中(胸径4cm以下)</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小(树高0.5m及以下)</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15</w:t>
            </w:r>
          </w:p>
        </w:tc>
        <w:tc>
          <w:tcPr>
            <w:tcW w:w="154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桔杻树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大(胸径6cm及以上)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小(胸径6cm以下)</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183" w:type="dxa"/>
            <w:gridSpan w:val="5"/>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果树木按照清点数量、相应规格和补偿标准计算补偿费，计算的补偿费总额低于每亩最高补偿标准的，按计算的补偿费总额补偿，高于每亩最高补偿标准的，按每亩最高补偿标准补偿；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混种地块按亩补偿的以一种主果树（地块内占比最多的果树）作为补偿标准，地块内其它种类果树、乔木类、灌木类不再补偿；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对于此标准未覆盖的品种及规格，补偿标准可參照相近品种的标准或根据具体情况由有资质的机构进行评估，但每亩最高补偿棵数不得超过该果树科学种植的合理棵数。名贵品种应根据具体情况由有资质的机构评估并报批后确定。</w:t>
            </w:r>
          </w:p>
        </w:tc>
      </w:tr>
    </w:tbl>
    <w:p>
      <w:pPr>
        <w:spacing w:line="360" w:lineRule="auto"/>
        <w:ind w:left="32" w:right="12" w:firstLine="560"/>
        <w:jc w:val="both"/>
        <w:rPr>
          <w:rFonts w:ascii="仿宋" w:hAnsi="仿宋" w:eastAsia="仿宋" w:cs="仿宋"/>
          <w:color w:val="000000" w:themeColor="text1"/>
          <w:sz w:val="28"/>
          <w:szCs w:val="28"/>
        </w:rPr>
      </w:pPr>
    </w:p>
    <w:p>
      <w:pPr>
        <w:spacing w:line="360" w:lineRule="auto"/>
        <w:ind w:left="588"/>
        <w:outlineLvl w:val="1"/>
        <w:rPr>
          <w:rFonts w:ascii="仿宋" w:hAnsi="仿宋" w:eastAsia="仿宋" w:cs="仿宋"/>
          <w:b/>
          <w:color w:val="000000" w:themeColor="text1"/>
          <w:sz w:val="28"/>
          <w:szCs w:val="28"/>
        </w:rPr>
      </w:pPr>
      <w:r>
        <w:rPr>
          <w:rFonts w:ascii="仿宋" w:hAnsi="仿宋" w:eastAsia="仿宋" w:cs="仿宋"/>
          <w:b/>
          <w:color w:val="000000" w:themeColor="text1"/>
          <w:spacing w:val="26"/>
          <w:sz w:val="28"/>
          <w:szCs w:val="28"/>
        </w:rPr>
        <w:t>(</w:t>
      </w:r>
      <w:r>
        <w:rPr>
          <w:rFonts w:ascii="仿宋" w:hAnsi="仿宋" w:eastAsia="仿宋" w:cs="仿宋"/>
          <w:b/>
          <w:color w:val="000000" w:themeColor="text1"/>
          <w:spacing w:val="17"/>
          <w:sz w:val="28"/>
          <w:szCs w:val="28"/>
        </w:rPr>
        <w:t xml:space="preserve">三) </w:t>
      </w:r>
      <w:r>
        <w:rPr>
          <w:rFonts w:hint="eastAsia" w:ascii="仿宋" w:hAnsi="仿宋" w:eastAsia="仿宋" w:cs="仿宋"/>
          <w:b/>
          <w:color w:val="000000" w:themeColor="text1"/>
          <w:spacing w:val="17"/>
          <w:sz w:val="28"/>
          <w:szCs w:val="28"/>
        </w:rPr>
        <w:t>竹木类</w:t>
      </w:r>
      <w:r>
        <w:rPr>
          <w:rFonts w:ascii="仿宋" w:hAnsi="仿宋" w:eastAsia="仿宋" w:cs="仿宋"/>
          <w:b/>
          <w:color w:val="000000" w:themeColor="text1"/>
          <w:spacing w:val="17"/>
          <w:sz w:val="28"/>
          <w:szCs w:val="28"/>
        </w:rPr>
        <w:t>补偿标准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6"/>
          <w:sz w:val="28"/>
          <w:szCs w:val="28"/>
        </w:rPr>
        <w:t>对于可移植品种，补偿标准为竹木移植费用。对于不可移植或移植成活率低的品种，补偿标准为竹木补偿价值。每亩种植密度达到成林标准数量的，按亩计价补偿。计算的补偿费总额低于每亩最高补偿标准的，按计算的补偿费总额补偿，高于每亩最高补偿标准的，按每亩最高补偿标准补偿。</w:t>
      </w:r>
      <w:r>
        <w:rPr>
          <w:rFonts w:ascii="仿宋" w:hAnsi="仿宋" w:eastAsia="仿宋" w:cs="仿宋"/>
          <w:color w:val="000000" w:themeColor="text1"/>
          <w:spacing w:val="-11"/>
          <w:sz w:val="28"/>
          <w:szCs w:val="28"/>
        </w:rPr>
        <w:t>属</w:t>
      </w:r>
      <w:r>
        <w:rPr>
          <w:rFonts w:hint="eastAsia" w:ascii="仿宋" w:hAnsi="仿宋" w:eastAsia="仿宋" w:cs="仿宋"/>
          <w:color w:val="000000" w:themeColor="text1"/>
          <w:spacing w:val="-11"/>
          <w:sz w:val="28"/>
          <w:szCs w:val="28"/>
        </w:rPr>
        <w:t>成片种植</w:t>
      </w:r>
      <w:r>
        <w:rPr>
          <w:rFonts w:ascii="仿宋" w:hAnsi="仿宋" w:eastAsia="仿宋" w:cs="仿宋"/>
          <w:color w:val="000000" w:themeColor="text1"/>
          <w:spacing w:val="-11"/>
          <w:sz w:val="28"/>
          <w:szCs w:val="28"/>
        </w:rPr>
        <w:t>的，按每亩补偿标准计算补偿；</w:t>
      </w:r>
      <w:r>
        <w:rPr>
          <w:rFonts w:ascii="仿宋" w:hAnsi="仿宋" w:eastAsia="仿宋" w:cs="仿宋"/>
          <w:color w:val="000000" w:themeColor="text1"/>
          <w:spacing w:val="-1"/>
          <w:sz w:val="28"/>
          <w:szCs w:val="28"/>
        </w:rPr>
        <w:t>属零星</w:t>
      </w:r>
      <w:r>
        <w:rPr>
          <w:rFonts w:hint="eastAsia" w:ascii="仿宋" w:hAnsi="仿宋" w:eastAsia="仿宋" w:cs="仿宋"/>
          <w:color w:val="000000" w:themeColor="text1"/>
          <w:spacing w:val="-1"/>
          <w:sz w:val="28"/>
          <w:szCs w:val="28"/>
        </w:rPr>
        <w:t>种植</w:t>
      </w:r>
      <w:r>
        <w:rPr>
          <w:rFonts w:ascii="仿宋" w:hAnsi="仿宋" w:eastAsia="仿宋" w:cs="仿宋"/>
          <w:color w:val="000000" w:themeColor="text1"/>
          <w:spacing w:val="-1"/>
          <w:sz w:val="28"/>
          <w:szCs w:val="28"/>
        </w:rPr>
        <w:t>的，</w:t>
      </w:r>
      <w:r>
        <w:rPr>
          <w:rFonts w:ascii="仿宋" w:hAnsi="仿宋" w:eastAsia="仿宋" w:cs="仿宋"/>
          <w:color w:val="000000" w:themeColor="text1"/>
          <w:spacing w:val="-6"/>
          <w:sz w:val="28"/>
          <w:szCs w:val="28"/>
        </w:rPr>
        <w:t>按每棵补偿标准</w:t>
      </w:r>
      <w:r>
        <w:rPr>
          <w:rFonts w:ascii="仿宋" w:hAnsi="仿宋" w:eastAsia="仿宋" w:cs="仿宋"/>
          <w:color w:val="000000" w:themeColor="text1"/>
          <w:spacing w:val="-5"/>
          <w:sz w:val="28"/>
          <w:szCs w:val="28"/>
        </w:rPr>
        <w:t>计</w:t>
      </w:r>
      <w:r>
        <w:rPr>
          <w:rFonts w:ascii="仿宋" w:hAnsi="仿宋" w:eastAsia="仿宋" w:cs="仿宋"/>
          <w:color w:val="000000" w:themeColor="text1"/>
          <w:spacing w:val="-3"/>
          <w:sz w:val="28"/>
          <w:szCs w:val="28"/>
        </w:rPr>
        <w:t>算补偿；凡超过每亩最高补偿标准的部分或已死亡的各</w:t>
      </w:r>
      <w:r>
        <w:rPr>
          <w:rFonts w:ascii="仿宋" w:hAnsi="仿宋" w:eastAsia="仿宋" w:cs="仿宋"/>
          <w:color w:val="000000" w:themeColor="text1"/>
          <w:spacing w:val="1"/>
          <w:sz w:val="28"/>
          <w:szCs w:val="28"/>
        </w:rPr>
        <w:t>类种植物不予补偿；</w:t>
      </w:r>
      <w:r>
        <w:rPr>
          <w:rFonts w:hint="eastAsia" w:ascii="仿宋" w:hAnsi="仿宋" w:eastAsia="仿宋" w:cs="仿宋"/>
          <w:color w:val="000000" w:themeColor="text1"/>
          <w:spacing w:val="1"/>
          <w:sz w:val="28"/>
          <w:szCs w:val="28"/>
        </w:rPr>
        <w:t>混种地块</w:t>
      </w:r>
      <w:r>
        <w:rPr>
          <w:rFonts w:ascii="仿宋" w:hAnsi="仿宋" w:eastAsia="仿宋" w:cs="仿宋"/>
          <w:color w:val="000000" w:themeColor="text1"/>
          <w:sz w:val="28"/>
          <w:szCs w:val="28"/>
        </w:rPr>
        <w:t>，一般以种植最多</w:t>
      </w:r>
      <w:r>
        <w:rPr>
          <w:rFonts w:ascii="仿宋" w:hAnsi="仿宋" w:eastAsia="仿宋" w:cs="仿宋"/>
          <w:color w:val="000000" w:themeColor="text1"/>
          <w:spacing w:val="-8"/>
          <w:sz w:val="28"/>
          <w:szCs w:val="28"/>
        </w:rPr>
        <w:t>的青苗作为补偿的品种，不以品种分类作重复计补；被征收土地上的</w:t>
      </w:r>
      <w:r>
        <w:rPr>
          <w:rFonts w:ascii="仿宋" w:hAnsi="仿宋" w:eastAsia="仿宋" w:cs="仿宋"/>
          <w:color w:val="000000" w:themeColor="text1"/>
          <w:spacing w:val="-14"/>
          <w:sz w:val="28"/>
          <w:szCs w:val="28"/>
        </w:rPr>
        <w:t>竹</w:t>
      </w:r>
      <w:r>
        <w:rPr>
          <w:rFonts w:ascii="仿宋" w:hAnsi="仿宋" w:eastAsia="仿宋" w:cs="仿宋"/>
          <w:color w:val="000000" w:themeColor="text1"/>
          <w:spacing w:val="-10"/>
          <w:sz w:val="28"/>
          <w:szCs w:val="28"/>
        </w:rPr>
        <w:t>木等在规定期限种植人自行砍伐、搬迁的，竹木等材料归物主所有；</w:t>
      </w:r>
      <w:r>
        <w:rPr>
          <w:rFonts w:ascii="仿宋" w:hAnsi="仿宋" w:eastAsia="仿宋" w:cs="仿宋"/>
          <w:color w:val="000000" w:themeColor="text1"/>
          <w:spacing w:val="-12"/>
          <w:sz w:val="28"/>
          <w:szCs w:val="28"/>
        </w:rPr>
        <w:t>逾</w:t>
      </w:r>
      <w:r>
        <w:rPr>
          <w:rFonts w:ascii="仿宋" w:hAnsi="仿宋" w:eastAsia="仿宋" w:cs="仿宋"/>
          <w:color w:val="000000" w:themeColor="text1"/>
          <w:spacing w:val="-8"/>
          <w:sz w:val="28"/>
          <w:szCs w:val="28"/>
        </w:rPr>
        <w:t>期的，由征地单位按规定处理。具体标准见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表3：竹木类补偿标准表</w:t>
      </w:r>
    </w:p>
    <w:tbl>
      <w:tblPr>
        <w:tblStyle w:val="8"/>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36"/>
        <w:gridCol w:w="2977"/>
        <w:gridCol w:w="1559"/>
        <w:gridCol w:w="161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2977"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规格</w:t>
            </w:r>
          </w:p>
        </w:tc>
        <w:tc>
          <w:tcPr>
            <w:tcW w:w="155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零星种植</w:t>
            </w:r>
          </w:p>
        </w:tc>
        <w:tc>
          <w:tcPr>
            <w:tcW w:w="3268"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成片种植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2977"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5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补偿标准（元∕棵）</w:t>
            </w:r>
          </w:p>
        </w:tc>
        <w:tc>
          <w:tcPr>
            <w:tcW w:w="161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种植密度（棵/亩）</w:t>
            </w:r>
          </w:p>
        </w:tc>
        <w:tc>
          <w:tcPr>
            <w:tcW w:w="165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最高补偿标准（元/亩）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竹类</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麻竹、毛(苗)竹：成竹，竹高4m及以上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密集种植</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黄竹、泥竹、丹竹：成竹，竹高4m及以上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密集种植</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杉、松、梧树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特大棵（胸径超过25cm）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大棵（胸径15-25cm(含））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25</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中棵（胸径8-15cm(含））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小棵（胸径小于8cm(含））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75</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3</w:t>
            </w:r>
          </w:p>
        </w:tc>
        <w:tc>
          <w:tcPr>
            <w:tcW w:w="1536" w:type="dxa"/>
            <w:vMerge w:val="restart"/>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桉树、杂树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大（胸径超过15cm）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中（胸径8-15cm(含））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110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小（胸径小于8cm(含））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4</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发财树、罗汉松</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大(胸径5cm以上)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340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中(胸径3-5cm(含）)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80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小(胸径1-3cm(含）)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幼苗(胸径1cm及以下)</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5</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桂花树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大（胸径5cm以上）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中（胸径3-5cm（含））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小（胸径1.5-3cm（含））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260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幼苗(胸径1.5cm及以下）</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6</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柏树、樟树</w:t>
            </w: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胸径40cm以上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胸径30-40cm(含30cm)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胸径20-30cm(含20cm)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胸径10-20cm(含10cm)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胸径5-10cm(含5cm)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胸径5cm以下</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600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340" w:type="dxa"/>
            <w:gridSpan w:val="5"/>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对于可移植品种，补偿标准为竹木移植费用。对于不可移植或移植成活率低的品种，补偿标准为竹木补偿价值；</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竹木按照清点数量、相应规格和补偿标准计算补偿费，每亩种植密度达到成林标准数量的，按亩计价补偿。计算的补偿费总额低于每亩最高补偿标准的，按计算的补偿费总额补偿，高于每亩最高补偿标准的，按每亩最高补偿标准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混种地块按亩补偿的以主要种植树种（地块内占比最多的树木）作为补偿标准，地块内其它种类树木不再补偿；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4.</w:t>
            </w:r>
            <w:r>
              <w:rPr>
                <w:rFonts w:hint="eastAsia" w:ascii="仿宋" w:hAnsi="仿宋" w:eastAsia="仿宋" w:cs="宋体"/>
                <w:snapToGrid/>
                <w:color w:val="000000" w:themeColor="text1"/>
                <w:sz w:val="24"/>
                <w:szCs w:val="24"/>
              </w:rPr>
              <w:t>对于此标准未覆盖的品种及规格，补偿标准可參照相近品种的标准或根据具体情况由有资质的机构进行评估，但每亩最高补偿棵数不得超过该树种科学种植的合理棵数。名贵品种应根据具体情况由有资质的机构评估并报批后确定。</w:t>
            </w:r>
          </w:p>
        </w:tc>
      </w:tr>
    </w:tbl>
    <w:p>
      <w:pPr>
        <w:spacing w:line="360" w:lineRule="auto"/>
        <w:ind w:left="32" w:right="12" w:firstLine="560"/>
        <w:jc w:val="both"/>
        <w:rPr>
          <w:rFonts w:ascii="仿宋" w:hAnsi="仿宋" w:eastAsia="仿宋" w:cs="仿宋"/>
          <w:color w:val="000000" w:themeColor="text1"/>
          <w:spacing w:val="-8"/>
          <w:sz w:val="28"/>
          <w:szCs w:val="28"/>
        </w:rPr>
      </w:pPr>
    </w:p>
    <w:p>
      <w:pPr>
        <w:spacing w:line="360" w:lineRule="auto"/>
        <w:ind w:left="588"/>
        <w:outlineLvl w:val="0"/>
        <w:rPr>
          <w:rFonts w:ascii="仿宋" w:hAnsi="仿宋" w:eastAsia="仿宋" w:cs="仿宋"/>
          <w:b/>
          <w:color w:val="000000" w:themeColor="text1"/>
          <w:sz w:val="28"/>
          <w:szCs w:val="28"/>
        </w:rPr>
      </w:pPr>
      <w:r>
        <w:rPr>
          <w:rFonts w:hint="eastAsia" w:ascii="仿宋" w:hAnsi="仿宋" w:eastAsia="仿宋" w:cs="仿宋"/>
          <w:b/>
          <w:color w:val="000000" w:themeColor="text1"/>
          <w:spacing w:val="-2"/>
          <w:sz w:val="28"/>
          <w:szCs w:val="28"/>
        </w:rPr>
        <w:t>二</w:t>
      </w:r>
      <w:r>
        <w:rPr>
          <w:rFonts w:ascii="仿宋" w:hAnsi="仿宋" w:eastAsia="仿宋" w:cs="仿宋"/>
          <w:b/>
          <w:color w:val="000000" w:themeColor="text1"/>
          <w:spacing w:val="-2"/>
          <w:sz w:val="28"/>
          <w:szCs w:val="28"/>
        </w:rPr>
        <w:t>、地上附着物补偿标</w:t>
      </w:r>
      <w:r>
        <w:rPr>
          <w:rFonts w:ascii="仿宋" w:hAnsi="仿宋" w:eastAsia="仿宋" w:cs="仿宋"/>
          <w:b/>
          <w:color w:val="000000" w:themeColor="text1"/>
          <w:spacing w:val="-1"/>
          <w:sz w:val="28"/>
          <w:szCs w:val="28"/>
        </w:rPr>
        <w:t>准</w:t>
      </w:r>
    </w:p>
    <w:p>
      <w:pPr>
        <w:spacing w:beforeLines="50" w:line="360" w:lineRule="auto"/>
        <w:ind w:left="40" w:firstLine="550"/>
        <w:outlineLvl w:val="1"/>
        <w:rPr>
          <w:rFonts w:ascii="仿宋" w:hAnsi="仿宋" w:eastAsia="仿宋" w:cs="仿宋"/>
          <w:b/>
          <w:color w:val="000000" w:themeColor="text1"/>
          <w:spacing w:val="5"/>
          <w:sz w:val="28"/>
          <w:szCs w:val="28"/>
        </w:rPr>
      </w:pPr>
      <w:r>
        <w:rPr>
          <w:rFonts w:ascii="仿宋" w:hAnsi="仿宋" w:eastAsia="仿宋" w:cs="仿宋"/>
          <w:b/>
          <w:color w:val="000000" w:themeColor="text1"/>
          <w:spacing w:val="10"/>
          <w:sz w:val="28"/>
          <w:szCs w:val="28"/>
        </w:rPr>
        <w:t>(一</w:t>
      </w:r>
      <w:r>
        <w:rPr>
          <w:rFonts w:ascii="仿宋" w:hAnsi="仿宋" w:eastAsia="仿宋" w:cs="仿宋"/>
          <w:b/>
          <w:color w:val="000000" w:themeColor="text1"/>
          <w:spacing w:val="8"/>
          <w:sz w:val="28"/>
          <w:szCs w:val="28"/>
        </w:rPr>
        <w:t>)</w:t>
      </w:r>
      <w:r>
        <w:rPr>
          <w:rFonts w:hint="eastAsia" w:ascii="仿宋" w:hAnsi="仿宋" w:eastAsia="仿宋" w:cs="仿宋"/>
          <w:b/>
          <w:color w:val="000000" w:themeColor="text1"/>
          <w:spacing w:val="5"/>
          <w:sz w:val="28"/>
          <w:szCs w:val="28"/>
        </w:rPr>
        <w:t>村民住宅</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表4：村民住宅建筑物补偿标准表</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56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房屋结构</w:t>
            </w:r>
          </w:p>
        </w:tc>
        <w:tc>
          <w:tcPr>
            <w:tcW w:w="240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框架结构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混合结构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（泥、红）砖木瓦结构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8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7960" w:type="dxa"/>
            <w:gridSpan w:val="2"/>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此补偿标准不含地价、不含装修，含基础、简易门窗与外墙批灰；</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2.符合“一户一宅”村民住宅的宅基地使用权补偿价值应根据具体情况由有资质的机构评估并报批后确定；</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3.对于此标准未覆盖项目，应根据具体情况由有资质的机构评估并报批后确定。</w:t>
            </w:r>
          </w:p>
        </w:tc>
      </w:tr>
    </w:tbl>
    <w:p>
      <w:pPr>
        <w:spacing w:beforeLines="100" w:line="360" w:lineRule="auto"/>
        <w:ind w:left="40" w:firstLine="550"/>
        <w:outlineLvl w:val="1"/>
        <w:rPr>
          <w:rFonts w:ascii="仿宋" w:hAnsi="仿宋" w:eastAsia="仿宋" w:cs="仿宋"/>
          <w:b/>
          <w:color w:val="000000" w:themeColor="text1"/>
          <w:spacing w:val="4"/>
          <w:sz w:val="28"/>
          <w:szCs w:val="28"/>
        </w:rPr>
      </w:pPr>
      <w:r>
        <w:rPr>
          <w:rFonts w:ascii="仿宋" w:hAnsi="仿宋" w:eastAsia="仿宋" w:cs="仿宋"/>
          <w:b/>
          <w:color w:val="000000" w:themeColor="text1"/>
          <w:spacing w:val="6"/>
          <w:sz w:val="28"/>
          <w:szCs w:val="28"/>
        </w:rPr>
        <w:t>(</w:t>
      </w:r>
      <w:r>
        <w:rPr>
          <w:rFonts w:ascii="仿宋" w:hAnsi="仿宋" w:eastAsia="仿宋" w:cs="仿宋"/>
          <w:b/>
          <w:color w:val="000000" w:themeColor="text1"/>
          <w:spacing w:val="4"/>
          <w:sz w:val="28"/>
          <w:szCs w:val="28"/>
        </w:rPr>
        <w:t>二)</w:t>
      </w:r>
      <w:r>
        <w:rPr>
          <w:rFonts w:hint="eastAsia" w:ascii="仿宋" w:hAnsi="仿宋" w:eastAsia="仿宋" w:cs="仿宋"/>
          <w:b/>
          <w:color w:val="000000" w:themeColor="text1"/>
          <w:spacing w:val="4"/>
          <w:sz w:val="28"/>
          <w:szCs w:val="28"/>
        </w:rPr>
        <w:t>生产生活附属用房</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表5：生产生活附属用房补偿标准表</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4249"/>
        <w:gridCol w:w="226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424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项目名称</w:t>
            </w:r>
          </w:p>
        </w:tc>
        <w:tc>
          <w:tcPr>
            <w:tcW w:w="226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c>
          <w:tcPr>
            <w:tcW w:w="1949" w:type="dxa"/>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砖墙铁皮房</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500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Cs/>
                <w:color w:val="000000" w:themeColor="text1"/>
                <w:sz w:val="24"/>
                <w:szCs w:val="24"/>
              </w:rPr>
              <w:t>层高低于</w:t>
            </w:r>
            <w:r>
              <w:rPr>
                <w:rFonts w:ascii="仿宋" w:hAnsi="仿宋" w:eastAsia="仿宋"/>
                <w:bCs/>
                <w:color w:val="000000" w:themeColor="text1"/>
                <w:sz w:val="24"/>
                <w:szCs w:val="24"/>
              </w:rPr>
              <w:t>2.2</w:t>
            </w:r>
            <w:r>
              <w:rPr>
                <w:rFonts w:hint="eastAsia" w:ascii="仿宋" w:hAnsi="仿宋" w:eastAsia="仿宋"/>
                <w:bCs/>
                <w:color w:val="000000" w:themeColor="text1"/>
                <w:sz w:val="24"/>
                <w:szCs w:val="24"/>
              </w:rPr>
              <w:t>米，内外墙抹灰，水泥地面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简易房</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350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
                <w:bCs/>
                <w:color w:val="000000" w:themeColor="text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铁皮棚</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200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
                <w:bCs/>
                <w:color w:val="000000" w:themeColor="text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标准养殖场</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800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Cs/>
                <w:color w:val="000000" w:themeColor="text1"/>
                <w:sz w:val="24"/>
                <w:szCs w:val="24"/>
              </w:rPr>
              <w:t>通水电、排水排污等设施齐全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1"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8466" w:type="dxa"/>
            <w:gridSpan w:val="3"/>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此补偿标准不含地价、不含装修；</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对于此标准未覆盖项目，应根据具体情况由有资质的机构评估并报批后确定。</w:t>
            </w:r>
          </w:p>
        </w:tc>
      </w:tr>
    </w:tbl>
    <w:p>
      <w:pPr>
        <w:spacing w:beforeLines="100" w:line="360" w:lineRule="auto"/>
        <w:ind w:left="40" w:firstLine="550"/>
        <w:outlineLvl w:val="1"/>
        <w:rPr>
          <w:rFonts w:ascii="仿宋" w:hAnsi="仿宋" w:eastAsia="仿宋" w:cs="仿宋"/>
          <w:b/>
          <w:color w:val="000000" w:themeColor="text1"/>
          <w:spacing w:val="4"/>
          <w:sz w:val="28"/>
          <w:szCs w:val="28"/>
        </w:rPr>
      </w:pPr>
      <w:r>
        <w:rPr>
          <w:rFonts w:ascii="仿宋" w:hAnsi="仿宋" w:eastAsia="仿宋" w:cs="仿宋"/>
          <w:b/>
          <w:color w:val="000000" w:themeColor="text1"/>
          <w:spacing w:val="6"/>
          <w:sz w:val="28"/>
          <w:szCs w:val="28"/>
        </w:rPr>
        <w:t>(</w:t>
      </w:r>
      <w:r>
        <w:rPr>
          <w:rFonts w:hint="eastAsia" w:ascii="仿宋" w:hAnsi="仿宋" w:eastAsia="仿宋" w:cs="仿宋"/>
          <w:b/>
          <w:color w:val="000000" w:themeColor="text1"/>
          <w:spacing w:val="4"/>
          <w:sz w:val="28"/>
          <w:szCs w:val="28"/>
        </w:rPr>
        <w:t>三</w:t>
      </w:r>
      <w:r>
        <w:rPr>
          <w:rFonts w:ascii="仿宋" w:hAnsi="仿宋" w:eastAsia="仿宋" w:cs="仿宋"/>
          <w:b/>
          <w:color w:val="000000" w:themeColor="text1"/>
          <w:spacing w:val="4"/>
          <w:sz w:val="28"/>
          <w:szCs w:val="28"/>
        </w:rPr>
        <w:t>)</w:t>
      </w:r>
      <w:r>
        <w:rPr>
          <w:rFonts w:hint="eastAsia" w:ascii="仿宋" w:hAnsi="仿宋" w:eastAsia="仿宋" w:cs="仿宋"/>
          <w:b/>
          <w:color w:val="000000" w:themeColor="text1"/>
          <w:spacing w:val="4"/>
          <w:sz w:val="28"/>
          <w:szCs w:val="28"/>
        </w:rPr>
        <w:t>构筑物及其他附属设施</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表6：构筑物及其他附属设施补偿标准表</w:t>
      </w:r>
    </w:p>
    <w:tbl>
      <w:tblPr>
        <w:tblStyle w:val="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234"/>
        <w:gridCol w:w="3844"/>
        <w:gridCol w:w="969"/>
        <w:gridCol w:w="135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23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类别</w:t>
            </w:r>
          </w:p>
        </w:tc>
        <w:tc>
          <w:tcPr>
            <w:tcW w:w="384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项目名称</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135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123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围墙、挡土墙、基础</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（单砖）砖墙、围墙（未批档）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（单砖）砖墙、围墙（已批档）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（18墙）砖墙、围墙（未批档）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（18墙）砖墙、围墙（已批档）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（24墙）砖墙、围墙（未批档）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（24墙）砖墙、围墙（已批档）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260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毛石挡土墙</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压墙</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9</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砖石房屋基础（按建基面积计）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10</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混凝土基础（按建基面积计）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11</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门楼（宽2米以内）</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c>
          <w:tcPr>
            <w:tcW w:w="1582"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普通门楼标准，外墙瓷砖贴面，特殊工艺、材料、造型以及门匾等另计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门楼（宽2.5米内、高2米）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门楼（宽3米内、高2米）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门楼（宽3米以上、高2米以上）</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16</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混凝土道路（220mm厚）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混凝土道路（150mm厚）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混凝土道路（100mm厚）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19</w:t>
            </w:r>
          </w:p>
        </w:tc>
        <w:tc>
          <w:tcPr>
            <w:tcW w:w="123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其他附属设施</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普通水井（按容积计）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20</w:t>
            </w:r>
          </w:p>
        </w:tc>
        <w:tc>
          <w:tcPr>
            <w:tcW w:w="1234"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泥井（限5m</w:t>
            </w:r>
            <w:r>
              <w:rPr>
                <w:rFonts w:hint="eastAsia" w:ascii="宋体" w:hAnsi="宋体" w:eastAsia="宋体" w:cs="宋体"/>
                <w:snapToGrid/>
                <w:color w:val="000000" w:themeColor="text1"/>
                <w:sz w:val="24"/>
                <w:szCs w:val="24"/>
              </w:rPr>
              <w:t>³</w:t>
            </w:r>
            <w:r>
              <w:rPr>
                <w:rFonts w:hint="eastAsia" w:ascii="仿宋" w:hAnsi="仿宋" w:eastAsia="仿宋" w:cs="宋体"/>
                <w:snapToGrid/>
                <w:color w:val="000000" w:themeColor="text1"/>
                <w:sz w:val="24"/>
                <w:szCs w:val="24"/>
              </w:rPr>
              <w:t>以内）</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21</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手摇井</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口</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晒坪</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水泥地坪</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化粪池</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个</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家用沼气池</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户外水池（砖）</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水渠、水沟（砖）</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炉灶（水泥砂浆面）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29</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炉灶（瓷片贴面）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30</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炉灶（大理石贴面）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31</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户外水管DN15（PVC）4分管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582"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含管件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户外水管DN20（PVC）6分管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户外水管φ110（PVC）4寸管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户外水管φ160（PVC）6寸管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水泥涵管（DN300)</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水泥涵管（DN500)</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380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37</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移装费用</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空气能、太阳能（家用）</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空调</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台</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8988" w:type="dxa"/>
            <w:gridSpan w:val="5"/>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此标准为地上附着物重置价格补偿；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对于此标准未覆盖项目，应根据具体情况由有资质的机构评估并报批后确定。</w:t>
            </w:r>
          </w:p>
        </w:tc>
      </w:tr>
    </w:tbl>
    <w:p>
      <w:pPr>
        <w:spacing w:beforeLines="50" w:line="360" w:lineRule="auto"/>
        <w:ind w:left="40" w:firstLine="550"/>
        <w:outlineLvl w:val="1"/>
        <w:rPr>
          <w:rFonts w:ascii="仿宋" w:hAnsi="仿宋" w:eastAsia="仿宋" w:cs="仿宋"/>
          <w:b/>
          <w:color w:val="000000" w:themeColor="text1"/>
          <w:spacing w:val="4"/>
          <w:sz w:val="28"/>
          <w:szCs w:val="28"/>
        </w:rPr>
      </w:pPr>
      <w:r>
        <w:rPr>
          <w:rFonts w:hint="eastAsia" w:ascii="仿宋" w:hAnsi="仿宋" w:eastAsia="仿宋" w:cs="仿宋"/>
          <w:b/>
          <w:color w:val="000000" w:themeColor="text1"/>
          <w:spacing w:val="4"/>
          <w:sz w:val="28"/>
          <w:szCs w:val="28"/>
        </w:rPr>
        <w:t>（四）坟墓</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表7：坟墓搬迁补偿标准表</w:t>
      </w:r>
    </w:p>
    <w:tbl>
      <w:tblPr>
        <w:tblStyle w:val="8"/>
        <w:tblW w:w="7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531"/>
        <w:gridCol w:w="1276"/>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阴城</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金坛</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个</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土坟</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2531" w:type="dxa"/>
            <w:shd w:val="clear" w:color="auto" w:fill="auto"/>
            <w:vAlign w:val="center"/>
          </w:tcPr>
          <w:p>
            <w:pPr>
              <w:jc w:val="center"/>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水泥（石灰）坟</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bCs/>
                <w:color w:val="000000" w:themeColor="text1"/>
                <w:sz w:val="24"/>
                <w:szCs w:val="24"/>
              </w:rPr>
            </w:pPr>
            <w:r>
              <w:rPr>
                <w:rFonts w:hint="eastAsia" w:ascii="仿宋" w:hAnsi="仿宋" w:eastAsia="仿宋" w:cs="宋体"/>
                <w:b/>
                <w:snapToGrid/>
                <w:color w:val="000000" w:themeColor="text1"/>
                <w:sz w:val="24"/>
                <w:szCs w:val="24"/>
              </w:rPr>
              <w:t>说明</w:t>
            </w:r>
          </w:p>
        </w:tc>
        <w:tc>
          <w:tcPr>
            <w:tcW w:w="6814" w:type="dxa"/>
            <w:gridSpan w:val="3"/>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此标准仅为坟墓搬迁费用，其重置成本应根据具体情况由有资质的机构评估并报批后确定；</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2.对于此标准未覆盖项目，应根据具体情况由有资质的机构评估并报批后确定。</w:t>
            </w:r>
          </w:p>
        </w:tc>
      </w:tr>
    </w:tbl>
    <w:p>
      <w:pPr>
        <w:spacing w:beforeLines="100" w:line="360" w:lineRule="auto"/>
        <w:ind w:left="40" w:firstLine="550"/>
        <w:outlineLvl w:val="0"/>
        <w:rPr>
          <w:rFonts w:ascii="仿宋" w:hAnsi="仿宋" w:eastAsia="仿宋" w:cs="仿宋"/>
          <w:b/>
          <w:color w:val="000000" w:themeColor="text1"/>
          <w:spacing w:val="-1"/>
          <w:sz w:val="28"/>
          <w:szCs w:val="28"/>
        </w:rPr>
      </w:pPr>
      <w:r>
        <w:rPr>
          <w:rFonts w:hint="eastAsia" w:ascii="仿宋" w:hAnsi="仿宋" w:eastAsia="仿宋" w:cs="仿宋"/>
          <w:b/>
          <w:color w:val="000000" w:themeColor="text1"/>
          <w:spacing w:val="-2"/>
          <w:sz w:val="28"/>
          <w:szCs w:val="28"/>
        </w:rPr>
        <w:t>三</w:t>
      </w:r>
      <w:r>
        <w:rPr>
          <w:rFonts w:ascii="仿宋" w:hAnsi="仿宋" w:eastAsia="仿宋" w:cs="仿宋"/>
          <w:b/>
          <w:color w:val="000000" w:themeColor="text1"/>
          <w:spacing w:val="-2"/>
          <w:sz w:val="28"/>
          <w:szCs w:val="28"/>
        </w:rPr>
        <w:t>、</w:t>
      </w:r>
      <w:r>
        <w:rPr>
          <w:rFonts w:hint="eastAsia" w:ascii="仿宋" w:hAnsi="仿宋" w:eastAsia="仿宋" w:cs="仿宋"/>
          <w:b/>
          <w:color w:val="000000" w:themeColor="text1"/>
          <w:spacing w:val="-2"/>
          <w:sz w:val="28"/>
          <w:szCs w:val="28"/>
        </w:rPr>
        <w:t>养殖类</w:t>
      </w:r>
      <w:r>
        <w:rPr>
          <w:rFonts w:ascii="仿宋" w:hAnsi="仿宋" w:eastAsia="仿宋" w:cs="仿宋"/>
          <w:b/>
          <w:color w:val="000000" w:themeColor="text1"/>
          <w:spacing w:val="-2"/>
          <w:sz w:val="28"/>
          <w:szCs w:val="28"/>
        </w:rPr>
        <w:t>补偿标</w:t>
      </w:r>
      <w:r>
        <w:rPr>
          <w:rFonts w:ascii="仿宋" w:hAnsi="仿宋" w:eastAsia="仿宋" w:cs="仿宋"/>
          <w:b/>
          <w:color w:val="000000" w:themeColor="text1"/>
          <w:spacing w:val="-1"/>
          <w:sz w:val="28"/>
          <w:szCs w:val="28"/>
        </w:rPr>
        <w:t>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养殖类补偿为搬迁损失补偿</w:t>
      </w:r>
      <w:r>
        <w:rPr>
          <w:rFonts w:hint="eastAsia" w:ascii="仿宋" w:hAnsi="仿宋" w:eastAsia="仿宋" w:cs="仿宋"/>
          <w:color w:val="000000" w:themeColor="text1"/>
          <w:spacing w:val="-4"/>
          <w:sz w:val="28"/>
          <w:szCs w:val="28"/>
        </w:rPr>
        <w:t>，按养殖水面面积计算补偿</w:t>
      </w:r>
      <w:r>
        <w:rPr>
          <w:rFonts w:ascii="仿宋" w:hAnsi="仿宋" w:eastAsia="仿宋" w:cs="仿宋"/>
          <w:color w:val="000000" w:themeColor="text1"/>
          <w:spacing w:val="-4"/>
          <w:sz w:val="28"/>
          <w:szCs w:val="28"/>
        </w:rPr>
        <w:t>。</w:t>
      </w:r>
      <w:r>
        <w:rPr>
          <w:rFonts w:ascii="仿宋" w:hAnsi="仿宋" w:eastAsia="仿宋" w:cs="仿宋"/>
          <w:color w:val="000000" w:themeColor="text1"/>
          <w:spacing w:val="-8"/>
          <w:sz w:val="28"/>
          <w:szCs w:val="28"/>
        </w:rPr>
        <w:t>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表8：养殖类补偿标准表</w:t>
      </w:r>
    </w:p>
    <w:tbl>
      <w:tblPr>
        <w:tblStyle w:val="8"/>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13"/>
        <w:gridCol w:w="696"/>
        <w:gridCol w:w="3879"/>
        <w:gridCol w:w="709"/>
        <w:gridCol w:w="148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409"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387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养殖产品</w:t>
            </w:r>
          </w:p>
        </w:tc>
        <w:tc>
          <w:tcPr>
            <w:tcW w:w="70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1483" w:type="dxa"/>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w:t>
            </w:r>
          </w:p>
        </w:tc>
        <w:tc>
          <w:tcPr>
            <w:tcW w:w="1843"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713"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水产类</w:t>
            </w:r>
          </w:p>
        </w:tc>
        <w:tc>
          <w:tcPr>
            <w:tcW w:w="696"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一般品种</w:t>
            </w:r>
          </w:p>
        </w:tc>
        <w:tc>
          <w:tcPr>
            <w:tcW w:w="3879" w:type="dxa"/>
            <w:shd w:val="clear" w:color="auto" w:fill="auto"/>
            <w:vAlign w:val="center"/>
          </w:tcPr>
          <w:p>
            <w:pPr>
              <w:jc w:val="center"/>
              <w:rPr>
                <w:rFonts w:ascii="仿宋" w:hAnsi="仿宋" w:eastAsia="仿宋" w:cs="宋体"/>
                <w:bCs/>
                <w:color w:val="000000" w:themeColor="text1"/>
                <w:sz w:val="22"/>
                <w:szCs w:val="24"/>
              </w:rPr>
            </w:pPr>
            <w:r>
              <w:rPr>
                <w:rFonts w:hint="eastAsia" w:ascii="仿宋" w:hAnsi="仿宋" w:eastAsia="仿宋"/>
                <w:bCs/>
                <w:color w:val="000000" w:themeColor="text1"/>
                <w:sz w:val="22"/>
                <w:szCs w:val="24"/>
              </w:rPr>
              <w:t>草鱼(鲩鱼)、鲢鱼、鳊鱼、鳙鱼(大头鱼)、鲫鱼类、鲈鱼类、鲮鱼、鲤鱼、各种罗非鱼、塘虱、南方大头鲶、淡水白鲳及其他市场价格与前述相同或相近的鱼类</w:t>
            </w:r>
          </w:p>
        </w:tc>
        <w:tc>
          <w:tcPr>
            <w:tcW w:w="70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亩</w:t>
            </w:r>
          </w:p>
        </w:tc>
        <w:tc>
          <w:tcPr>
            <w:tcW w:w="1483" w:type="dxa"/>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9200</w:t>
            </w:r>
          </w:p>
        </w:tc>
        <w:tc>
          <w:tcPr>
            <w:tcW w:w="1843"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不分主养或混养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713" w:type="dxa"/>
            <w:vMerge w:val="continue"/>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c>
          <w:tcPr>
            <w:tcW w:w="696"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优质品种</w:t>
            </w:r>
          </w:p>
        </w:tc>
        <w:tc>
          <w:tcPr>
            <w:tcW w:w="3879" w:type="dxa"/>
            <w:shd w:val="clear" w:color="auto" w:fill="auto"/>
            <w:vAlign w:val="center"/>
          </w:tcPr>
          <w:p>
            <w:pPr>
              <w:jc w:val="center"/>
              <w:rPr>
                <w:rFonts w:ascii="仿宋" w:hAnsi="仿宋" w:eastAsia="仿宋" w:cs="宋体"/>
                <w:bCs/>
                <w:color w:val="000000" w:themeColor="text1"/>
                <w:sz w:val="22"/>
                <w:szCs w:val="24"/>
              </w:rPr>
            </w:pPr>
            <w:r>
              <w:rPr>
                <w:rFonts w:hint="eastAsia" w:ascii="仿宋" w:hAnsi="仿宋" w:eastAsia="仿宋"/>
                <w:bCs/>
                <w:color w:val="000000" w:themeColor="text1"/>
                <w:sz w:val="22"/>
                <w:szCs w:val="24"/>
              </w:rPr>
              <w:t>龙虱、虾类、广东鲂（边鱼、大眼鸡）、桂花鱼、黄骨鱼、生鱼、鳗鱼、甲鱼（水鱼）、蛙类及其他市场价格相近与前述相同或相近的鱼类</w:t>
            </w:r>
          </w:p>
        </w:tc>
        <w:tc>
          <w:tcPr>
            <w:tcW w:w="70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亩</w:t>
            </w:r>
          </w:p>
        </w:tc>
        <w:tc>
          <w:tcPr>
            <w:tcW w:w="1483" w:type="dxa"/>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10000</w:t>
            </w:r>
          </w:p>
        </w:tc>
        <w:tc>
          <w:tcPr>
            <w:tcW w:w="1843"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与一般鱼类混养的，按一般鱼类补偿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80" w:type="dxa"/>
            <w:shd w:val="clear" w:color="auto" w:fill="auto"/>
            <w:vAlign w:val="center"/>
          </w:tcPr>
          <w:p>
            <w:pPr>
              <w:kinsoku/>
              <w:autoSpaceDE/>
              <w:autoSpaceDN/>
              <w:adjustRightInd/>
              <w:snapToGrid/>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323" w:type="dxa"/>
            <w:gridSpan w:val="6"/>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水产养殖补偿含养殖损失、推塘费、干塘费和搬迁费；</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按养殖水面面积计算补偿，养殖水面面积是指正常养殖蓄水的水面面积；</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征地红线内外水面相连，红线内施工期间红线外无法正常养殖的，原则上应当采取有效措施，确保红线外继续养殖，但措施费用高于红线外养殖损失补偿费的，红线内外养殖损失一并补偿;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4.对于此标准未覆盖项目，应根据具体情况由有资质的机构评估并报批后确定。</w:t>
            </w:r>
          </w:p>
        </w:tc>
      </w:tr>
    </w:tbl>
    <w:p>
      <w:pPr>
        <w:spacing w:line="360" w:lineRule="auto"/>
        <w:rPr>
          <w:rFonts w:eastAsiaTheme="minorEastAsia"/>
          <w:color w:val="000000" w:themeColor="text1"/>
        </w:rPr>
      </w:pPr>
    </w:p>
    <w:sectPr>
      <w:headerReference r:id="rId3" w:type="default"/>
      <w:footerReference r:id="rId4" w:type="default"/>
      <w:pgSz w:w="11907" w:h="16841"/>
      <w:pgMar w:top="1157" w:right="1418" w:bottom="1174" w:left="1418" w:header="885" w:footer="998"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13511"/>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rPr>
        <w:rFonts w:ascii="黑体" w:hAnsi="黑体" w:eastAsia="黑体" w:cs="黑体"/>
        <w:spacing w:val="10"/>
        <w:sz w:val="18"/>
        <w:szCs w:val="18"/>
      </w:rPr>
    </w:pPr>
    <w:r>
      <w:rPr>
        <w:rFonts w:hint="eastAsia" w:ascii="黑体" w:hAnsi="黑体" w:eastAsia="黑体" w:cs="黑体"/>
        <w:spacing w:val="10"/>
        <w:sz w:val="18"/>
        <w:szCs w:val="18"/>
      </w:rPr>
      <w:t>河源市区征收土地青苗和地上附着物补偿标准（初步成果）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2"/>
  </w:compat>
  <w:docVars>
    <w:docVar w:name="commondata" w:val="eyJoZGlkIjoiMjFiMTlmYmI1OWVmMDgwYjNhZDg4OTk3MDdhMzM3YzYifQ=="/>
  </w:docVars>
  <w:rsids>
    <w:rsidRoot w:val="00B24129"/>
    <w:rsid w:val="00012C20"/>
    <w:rsid w:val="00020C9E"/>
    <w:rsid w:val="00060B27"/>
    <w:rsid w:val="000A2F1B"/>
    <w:rsid w:val="000B49B0"/>
    <w:rsid w:val="000B4CE4"/>
    <w:rsid w:val="000F323A"/>
    <w:rsid w:val="000F5DFB"/>
    <w:rsid w:val="00112F60"/>
    <w:rsid w:val="0012026C"/>
    <w:rsid w:val="001430F2"/>
    <w:rsid w:val="00157262"/>
    <w:rsid w:val="0015733E"/>
    <w:rsid w:val="001A2411"/>
    <w:rsid w:val="001A4D4F"/>
    <w:rsid w:val="001A7981"/>
    <w:rsid w:val="001B040B"/>
    <w:rsid w:val="001B75EA"/>
    <w:rsid w:val="001D6119"/>
    <w:rsid w:val="001E2A7F"/>
    <w:rsid w:val="001E4CC6"/>
    <w:rsid w:val="002261B9"/>
    <w:rsid w:val="00235231"/>
    <w:rsid w:val="002361FA"/>
    <w:rsid w:val="00237C08"/>
    <w:rsid w:val="00242AE6"/>
    <w:rsid w:val="002602DA"/>
    <w:rsid w:val="00273069"/>
    <w:rsid w:val="00294063"/>
    <w:rsid w:val="002A017C"/>
    <w:rsid w:val="002B2251"/>
    <w:rsid w:val="002C0034"/>
    <w:rsid w:val="002C377D"/>
    <w:rsid w:val="003463CD"/>
    <w:rsid w:val="00347555"/>
    <w:rsid w:val="00362322"/>
    <w:rsid w:val="00381421"/>
    <w:rsid w:val="00400AB3"/>
    <w:rsid w:val="00405664"/>
    <w:rsid w:val="00407259"/>
    <w:rsid w:val="00430D2F"/>
    <w:rsid w:val="004621F1"/>
    <w:rsid w:val="00480B44"/>
    <w:rsid w:val="004B1BE5"/>
    <w:rsid w:val="004C1BAB"/>
    <w:rsid w:val="004C1FA6"/>
    <w:rsid w:val="004E27A7"/>
    <w:rsid w:val="004E2FA6"/>
    <w:rsid w:val="00507959"/>
    <w:rsid w:val="005631C3"/>
    <w:rsid w:val="005806F3"/>
    <w:rsid w:val="00583CE9"/>
    <w:rsid w:val="00592C05"/>
    <w:rsid w:val="005944B6"/>
    <w:rsid w:val="005B1509"/>
    <w:rsid w:val="005B7C30"/>
    <w:rsid w:val="00615DD0"/>
    <w:rsid w:val="00616CA9"/>
    <w:rsid w:val="006407B8"/>
    <w:rsid w:val="00644AD3"/>
    <w:rsid w:val="00657119"/>
    <w:rsid w:val="006753C3"/>
    <w:rsid w:val="00685089"/>
    <w:rsid w:val="00787E46"/>
    <w:rsid w:val="007B7241"/>
    <w:rsid w:val="007C31F8"/>
    <w:rsid w:val="007D15DC"/>
    <w:rsid w:val="007E334C"/>
    <w:rsid w:val="007E3446"/>
    <w:rsid w:val="007F77C3"/>
    <w:rsid w:val="007F7E29"/>
    <w:rsid w:val="00823FCF"/>
    <w:rsid w:val="008270C9"/>
    <w:rsid w:val="008279BB"/>
    <w:rsid w:val="008321AF"/>
    <w:rsid w:val="008350A9"/>
    <w:rsid w:val="008351C3"/>
    <w:rsid w:val="008E5B7F"/>
    <w:rsid w:val="00923756"/>
    <w:rsid w:val="0093456D"/>
    <w:rsid w:val="00946001"/>
    <w:rsid w:val="00956874"/>
    <w:rsid w:val="00964B40"/>
    <w:rsid w:val="00971F7E"/>
    <w:rsid w:val="009B3176"/>
    <w:rsid w:val="009C2CB0"/>
    <w:rsid w:val="009D1C01"/>
    <w:rsid w:val="009D3482"/>
    <w:rsid w:val="00A002DF"/>
    <w:rsid w:val="00A143E6"/>
    <w:rsid w:val="00A3095B"/>
    <w:rsid w:val="00A31140"/>
    <w:rsid w:val="00A35B39"/>
    <w:rsid w:val="00A8244C"/>
    <w:rsid w:val="00B01B1C"/>
    <w:rsid w:val="00B24129"/>
    <w:rsid w:val="00B277CB"/>
    <w:rsid w:val="00B97778"/>
    <w:rsid w:val="00BA66F7"/>
    <w:rsid w:val="00BC275E"/>
    <w:rsid w:val="00BF715D"/>
    <w:rsid w:val="00C0395F"/>
    <w:rsid w:val="00C13200"/>
    <w:rsid w:val="00C43834"/>
    <w:rsid w:val="00C44C5C"/>
    <w:rsid w:val="00C94947"/>
    <w:rsid w:val="00D04FF5"/>
    <w:rsid w:val="00D124FC"/>
    <w:rsid w:val="00D21D2B"/>
    <w:rsid w:val="00D26914"/>
    <w:rsid w:val="00D30601"/>
    <w:rsid w:val="00D351B0"/>
    <w:rsid w:val="00D572D3"/>
    <w:rsid w:val="00D65516"/>
    <w:rsid w:val="00D705F6"/>
    <w:rsid w:val="00D924AD"/>
    <w:rsid w:val="00DF6BEC"/>
    <w:rsid w:val="00E02CEF"/>
    <w:rsid w:val="00E062DD"/>
    <w:rsid w:val="00E06F25"/>
    <w:rsid w:val="00E2654D"/>
    <w:rsid w:val="00E94172"/>
    <w:rsid w:val="00EB708D"/>
    <w:rsid w:val="00EC2F0B"/>
    <w:rsid w:val="00EC30A2"/>
    <w:rsid w:val="00EE4E8F"/>
    <w:rsid w:val="00EE775D"/>
    <w:rsid w:val="00EF2948"/>
    <w:rsid w:val="00EF3E9B"/>
    <w:rsid w:val="00F262CB"/>
    <w:rsid w:val="00F27D42"/>
    <w:rsid w:val="00F35D0F"/>
    <w:rsid w:val="00F44AD0"/>
    <w:rsid w:val="00F45197"/>
    <w:rsid w:val="00F46E98"/>
    <w:rsid w:val="00F717B1"/>
    <w:rsid w:val="00F80123"/>
    <w:rsid w:val="00F86443"/>
    <w:rsid w:val="00F868DB"/>
    <w:rsid w:val="00FA4BA5"/>
    <w:rsid w:val="00FA6666"/>
    <w:rsid w:val="00FD34E3"/>
    <w:rsid w:val="07A304A1"/>
    <w:rsid w:val="2C9246CF"/>
    <w:rsid w:val="4A3F3D99"/>
    <w:rsid w:val="5664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qFormat/>
    <w:uiPriority w:val="0"/>
    <w:rPr>
      <w:rFonts w:ascii="宋体" w:eastAsia="宋体"/>
      <w:sz w:val="18"/>
      <w:szCs w:val="18"/>
    </w:rPr>
  </w:style>
  <w:style w:type="paragraph" w:styleId="3">
    <w:name w:val="annotation text"/>
    <w:basedOn w:val="1"/>
    <w:link w:val="15"/>
    <w:qFormat/>
    <w:uiPriority w:val="0"/>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pPr>
    <w:rPr>
      <w:sz w:val="18"/>
      <w:szCs w:val="18"/>
    </w:rPr>
  </w:style>
  <w:style w:type="paragraph" w:styleId="6">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6"/>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basedOn w:val="9"/>
    <w:link w:val="6"/>
    <w:qFormat/>
    <w:uiPriority w:val="99"/>
    <w:rPr>
      <w:rFonts w:eastAsia="Arial"/>
      <w:snapToGrid w:val="0"/>
      <w:color w:val="000000"/>
      <w:sz w:val="18"/>
      <w:szCs w:val="18"/>
    </w:rPr>
  </w:style>
  <w:style w:type="character" w:customStyle="1" w:styleId="13">
    <w:name w:val="页脚 Char"/>
    <w:basedOn w:val="9"/>
    <w:link w:val="5"/>
    <w:qFormat/>
    <w:uiPriority w:val="99"/>
    <w:rPr>
      <w:rFonts w:eastAsia="Arial"/>
      <w:snapToGrid w:val="0"/>
      <w:color w:val="000000"/>
      <w:sz w:val="18"/>
      <w:szCs w:val="18"/>
    </w:rPr>
  </w:style>
  <w:style w:type="character" w:customStyle="1" w:styleId="14">
    <w:name w:val="批注框文本 Char"/>
    <w:basedOn w:val="9"/>
    <w:link w:val="4"/>
    <w:qFormat/>
    <w:uiPriority w:val="0"/>
    <w:rPr>
      <w:rFonts w:eastAsia="Arial"/>
      <w:snapToGrid w:val="0"/>
      <w:color w:val="000000"/>
      <w:sz w:val="18"/>
      <w:szCs w:val="18"/>
    </w:rPr>
  </w:style>
  <w:style w:type="character" w:customStyle="1" w:styleId="15">
    <w:name w:val="批注文字 Char"/>
    <w:basedOn w:val="9"/>
    <w:link w:val="3"/>
    <w:qFormat/>
    <w:uiPriority w:val="0"/>
    <w:rPr>
      <w:rFonts w:eastAsia="Arial"/>
      <w:snapToGrid w:val="0"/>
      <w:color w:val="000000"/>
      <w:sz w:val="21"/>
      <w:szCs w:val="21"/>
    </w:rPr>
  </w:style>
  <w:style w:type="character" w:customStyle="1" w:styleId="16">
    <w:name w:val="批注主题 Char"/>
    <w:basedOn w:val="15"/>
    <w:link w:val="7"/>
    <w:qFormat/>
    <w:uiPriority w:val="0"/>
    <w:rPr>
      <w:b/>
      <w:bCs/>
    </w:rPr>
  </w:style>
  <w:style w:type="character" w:customStyle="1" w:styleId="17">
    <w:name w:val="文档结构图 Char"/>
    <w:basedOn w:val="9"/>
    <w:link w:val="2"/>
    <w:qFormat/>
    <w:uiPriority w:val="0"/>
    <w:rPr>
      <w:rFonts w:ascii="宋体" w:eastAsia="宋体"/>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4407</Words>
  <Characters>5372</Characters>
  <Lines>46</Lines>
  <Paragraphs>12</Paragraphs>
  <TotalTime>572</TotalTime>
  <ScaleCrop>false</ScaleCrop>
  <LinksUpToDate>false</LinksUpToDate>
  <CharactersWithSpaces>5446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2022-06-25T02:44:00Z</dcterms:created>
  <dc:creator>admin</dc:creator>
  <cp:lastModifiedBy>罗少健</cp:lastModifiedBy>
  <cp:lastPrinted>2023-05-31T01:48:00Z</cp:lastPrinted>
  <dcterms:modified xsi:type="dcterms:W3CDTF">2023-06-07T08:30:41Z</dcterms:modified>
  <dc:title>关于汕尾市区征地补偿标准的有关情况</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2023-02-20T11:39:27Z</vt:filetime>
  </property>
  <property fmtid="{D5CDD505-2E9C-101B-9397-08002B2CF9AE}" pid="4" name="KSOProductBuildVer">
    <vt:lpwstr>2052-11.1.0.14309</vt:lpwstr>
  </property>
  <property fmtid="{D5CDD505-2E9C-101B-9397-08002B2CF9AE}" pid="5" name="ICV">
    <vt:lpwstr>866BB187BF8D442C9EDB8329F1AEF849_12</vt:lpwstr>
  </property>
</Properties>
</file>