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184" w:beforeLines="700"/>
        <w:ind w:firstLine="0" w:firstLineChars="0"/>
        <w:jc w:val="center"/>
        <w:rPr>
          <w:rFonts w:eastAsia="方正小标宋简体"/>
          <w:sz w:val="44"/>
          <w:szCs w:val="44"/>
        </w:rPr>
      </w:pPr>
      <w:r>
        <w:rPr>
          <w:rFonts w:eastAsia="方正小标宋简体"/>
          <w:sz w:val="44"/>
          <w:szCs w:val="44"/>
        </w:rPr>
        <w:t>河源市节约能源</w:t>
      </w:r>
      <w:r>
        <w:rPr>
          <w:rFonts w:hint="eastAsia" w:eastAsia="方正小标宋简体"/>
          <w:sz w:val="44"/>
          <w:szCs w:val="44"/>
          <w:lang w:eastAsia="zh-CN"/>
        </w:rPr>
        <w:t>“</w:t>
      </w:r>
      <w:r>
        <w:rPr>
          <w:rFonts w:eastAsia="方正小标宋简体"/>
          <w:sz w:val="44"/>
          <w:szCs w:val="44"/>
        </w:rPr>
        <w:t>十四五</w:t>
      </w:r>
      <w:r>
        <w:rPr>
          <w:rFonts w:hint="eastAsia" w:eastAsia="方正小标宋简体"/>
          <w:sz w:val="44"/>
          <w:szCs w:val="44"/>
          <w:lang w:eastAsia="zh-CN"/>
        </w:rPr>
        <w:t>”</w:t>
      </w:r>
      <w:r>
        <w:rPr>
          <w:rFonts w:eastAsia="方正小标宋简体"/>
          <w:sz w:val="44"/>
          <w:szCs w:val="44"/>
        </w:rPr>
        <w:t>规划</w:t>
      </w:r>
    </w:p>
    <w:p>
      <w:pPr>
        <w:pStyle w:val="47"/>
        <w:widowControl/>
        <w:ind w:firstLine="0" w:firstLineChars="0"/>
        <w:jc w:val="center"/>
        <w:rPr>
          <w:rFonts w:ascii="Times New Roman" w:hAnsi="Times New Roman" w:eastAsia="方正楷体简体"/>
          <w:szCs w:val="32"/>
        </w:rPr>
      </w:pPr>
      <w:r>
        <w:rPr>
          <w:rFonts w:ascii="Times New Roman" w:hAnsi="Times New Roman" w:eastAsia="方正楷体简体"/>
          <w:szCs w:val="32"/>
        </w:rPr>
        <w:t>（征求意见稿）</w:t>
      </w:r>
    </w:p>
    <w:p>
      <w:pPr>
        <w:spacing w:after="6864" w:afterLines="2200"/>
        <w:ind w:firstLine="0" w:firstLineChars="0"/>
        <w:jc w:val="center"/>
        <w:rPr>
          <w:rFonts w:eastAsia="楷体_GB2312"/>
          <w:sz w:val="40"/>
          <w:szCs w:val="36"/>
        </w:rPr>
      </w:pPr>
      <w:r>
        <w:rPr>
          <w:rFonts w:eastAsia="楷体_GB2312"/>
          <w:sz w:val="40"/>
          <w:szCs w:val="36"/>
        </w:rPr>
        <w:t xml:space="preserve">  </w:t>
      </w:r>
    </w:p>
    <w:p>
      <w:pPr>
        <w:pStyle w:val="2"/>
        <w:ind w:firstLine="420"/>
      </w:pPr>
    </w:p>
    <w:p>
      <w:pPr>
        <w:ind w:firstLine="0" w:firstLineChars="0"/>
        <w:jc w:val="center"/>
        <w:rPr>
          <w:rFonts w:eastAsia="方正楷体简体"/>
          <w:spacing w:val="-6"/>
          <w:w w:val="96"/>
          <w:kern w:val="0"/>
          <w:szCs w:val="32"/>
        </w:rPr>
      </w:pPr>
      <w:r>
        <w:rPr>
          <w:rFonts w:eastAsia="方正楷体简体"/>
          <w:spacing w:val="88"/>
          <w:w w:val="96"/>
          <w:kern w:val="0"/>
          <w:szCs w:val="32"/>
        </w:rPr>
        <w:t>河源市发展和改革</w:t>
      </w:r>
      <w:r>
        <w:rPr>
          <w:rFonts w:eastAsia="方正楷体简体"/>
          <w:w w:val="96"/>
          <w:kern w:val="0"/>
          <w:szCs w:val="32"/>
        </w:rPr>
        <w:t>局</w:t>
      </w:r>
    </w:p>
    <w:p>
      <w:pPr>
        <w:ind w:firstLine="0" w:firstLineChars="0"/>
        <w:jc w:val="center"/>
        <w:rPr>
          <w:rFonts w:eastAsia="方正楷体简体"/>
          <w:kern w:val="0"/>
          <w:szCs w:val="32"/>
        </w:rPr>
      </w:pPr>
      <w:r>
        <w:rPr>
          <w:rFonts w:eastAsia="方正楷体简体"/>
          <w:spacing w:val="14"/>
          <w:kern w:val="0"/>
          <w:szCs w:val="32"/>
          <w:fitText w:val="4496" w:id="1"/>
        </w:rPr>
        <w:t>广东省技术经济研究发展中</w:t>
      </w:r>
      <w:r>
        <w:rPr>
          <w:rFonts w:eastAsia="方正楷体简体"/>
          <w:spacing w:val="0"/>
          <w:kern w:val="0"/>
          <w:szCs w:val="32"/>
          <w:fitText w:val="4496" w:id="1"/>
        </w:rPr>
        <w:t>心</w:t>
      </w:r>
    </w:p>
    <w:p>
      <w:pPr>
        <w:ind w:firstLine="0" w:firstLineChars="0"/>
        <w:jc w:val="center"/>
        <w:rPr>
          <w:rFonts w:eastAsia="方正楷体简体"/>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eastAsia="方正楷体简体"/>
          <w:kern w:val="0"/>
          <w:szCs w:val="32"/>
        </w:rPr>
        <w:t>2022年</w:t>
      </w:r>
      <w:r>
        <w:rPr>
          <w:rFonts w:hint="eastAsia" w:eastAsia="方正楷体简体"/>
          <w:kern w:val="0"/>
          <w:szCs w:val="32"/>
          <w:lang w:val="en-US" w:eastAsia="zh-CN"/>
        </w:rPr>
        <w:t>6</w:t>
      </w:r>
      <w:r>
        <w:rPr>
          <w:rFonts w:eastAsia="方正楷体简体"/>
          <w:kern w:val="0"/>
          <w:szCs w:val="32"/>
        </w:rPr>
        <w:t>月</w:t>
      </w:r>
    </w:p>
    <w:sdt>
      <w:sdtPr>
        <w:rPr>
          <w:rFonts w:ascii="Times New Roman" w:hAnsi="Times New Roman" w:eastAsia="黑体" w:cs="Times New Roman"/>
          <w:b w:val="0"/>
          <w:color w:val="auto"/>
          <w:kern w:val="2"/>
          <w:szCs w:val="24"/>
          <w:lang w:val="zh-CN"/>
        </w:rPr>
        <w:id w:val="1705286396"/>
        <w:docPartObj>
          <w:docPartGallery w:val="Table of Contents"/>
          <w:docPartUnique/>
        </w:docPartObj>
      </w:sdtPr>
      <w:sdtEndPr>
        <w:rPr>
          <w:rFonts w:ascii="Times New Roman" w:hAnsi="Times New Roman" w:eastAsia="仿宋_GB2312" w:cs="Times New Roman"/>
          <w:b w:val="0"/>
          <w:bCs/>
          <w:color w:val="auto"/>
          <w:kern w:val="2"/>
          <w:szCs w:val="24"/>
          <w:lang w:val="zh-CN"/>
        </w:rPr>
      </w:sdtEndPr>
      <w:sdtContent>
        <w:p>
          <w:pPr>
            <w:pStyle w:val="38"/>
            <w:ind w:firstLine="640"/>
            <w:jc w:val="center"/>
            <w:rPr>
              <w:rFonts w:ascii="Times New Roman" w:hAnsi="Times New Roman" w:eastAsia="黑体" w:cs="Times New Roman"/>
              <w:color w:val="auto"/>
            </w:rPr>
          </w:pPr>
          <w:r>
            <w:rPr>
              <w:rFonts w:ascii="Times New Roman" w:hAnsi="Times New Roman" w:eastAsia="黑体" w:cs="Times New Roman"/>
              <w:b w:val="0"/>
              <w:color w:val="auto"/>
              <w:lang w:val="zh-CN"/>
            </w:rPr>
            <w:t>目  录</w:t>
          </w:r>
        </w:p>
        <w:p>
          <w:pPr>
            <w:pStyle w:val="12"/>
            <w:tabs>
              <w:tab w:val="right" w:leader="dot" w:pos="8296"/>
            </w:tabs>
            <w:ind w:firstLine="64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"_Toc106032981" </w:instrText>
          </w:r>
          <w:r>
            <w:fldChar w:fldCharType="separate"/>
          </w:r>
          <w:r>
            <w:rPr>
              <w:rStyle w:val="19"/>
              <w:rFonts w:hint="eastAsia"/>
            </w:rPr>
            <w:t>第一章</w:t>
          </w:r>
          <w:r>
            <w:rPr>
              <w:rStyle w:val="19"/>
            </w:rPr>
            <w:t xml:space="preserve">  </w:t>
          </w:r>
          <w:r>
            <w:rPr>
              <w:rStyle w:val="19"/>
              <w:rFonts w:hint="eastAsia"/>
            </w:rPr>
            <w:t>发展基础</w:t>
          </w:r>
          <w:r>
            <w:tab/>
          </w:r>
          <w:r>
            <w:fldChar w:fldCharType="begin"/>
          </w:r>
          <w:r>
            <w:instrText xml:space="preserve"> PAGEREF _Toc106032981 \h </w:instrText>
          </w:r>
          <w:r>
            <w:fldChar w:fldCharType="separate"/>
          </w:r>
          <w:r>
            <w:t>1</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"_Toc106032982" </w:instrText>
          </w:r>
          <w:r>
            <w:fldChar w:fldCharType="separate"/>
          </w:r>
          <w:r>
            <w:rPr>
              <w:rStyle w:val="19"/>
              <w:rFonts w:hint="eastAsia"/>
            </w:rPr>
            <w:t>第一节</w:t>
          </w:r>
          <w:r>
            <w:rPr>
              <w:rStyle w:val="19"/>
            </w:rPr>
            <w:t xml:space="preserve">  </w:t>
          </w:r>
          <w:r>
            <w:rPr>
              <w:rStyle w:val="19"/>
              <w:rFonts w:hint="eastAsia"/>
            </w:rPr>
            <w:t>主要成效</w:t>
          </w:r>
          <w:r>
            <w:tab/>
          </w:r>
          <w:r>
            <w:fldChar w:fldCharType="begin"/>
          </w:r>
          <w:r>
            <w:instrText xml:space="preserve"> PAGEREF _Toc106032982 \h </w:instrText>
          </w:r>
          <w:r>
            <w:fldChar w:fldCharType="separate"/>
          </w:r>
          <w:r>
            <w:t>1</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"_Toc106032983" </w:instrText>
          </w:r>
          <w:r>
            <w:fldChar w:fldCharType="separate"/>
          </w:r>
          <w:r>
            <w:rPr>
              <w:rStyle w:val="19"/>
            </w:rPr>
            <w:t>1.</w:t>
          </w:r>
          <w:r>
            <w:rPr>
              <w:rStyle w:val="19"/>
              <w:rFonts w:hint="eastAsia"/>
            </w:rPr>
            <w:t>节能目标顺利完成</w:t>
          </w:r>
          <w:r>
            <w:tab/>
          </w:r>
          <w:r>
            <w:fldChar w:fldCharType="begin"/>
          </w:r>
          <w:r>
            <w:instrText xml:space="preserve"> PAGEREF _Toc106032983 \h </w:instrText>
          </w:r>
          <w:r>
            <w:fldChar w:fldCharType="separate"/>
          </w:r>
          <w:r>
            <w:t>1</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"_Toc106032984" </w:instrText>
          </w:r>
          <w:r>
            <w:fldChar w:fldCharType="separate"/>
          </w:r>
          <w:r>
            <w:rPr>
              <w:rStyle w:val="19"/>
            </w:rPr>
            <w:t>2.</w:t>
          </w:r>
          <w:r>
            <w:rPr>
              <w:rStyle w:val="19"/>
              <w:rFonts w:hint="eastAsia"/>
            </w:rPr>
            <w:t>能源结构更加清洁低碳</w:t>
          </w:r>
          <w:r>
            <w:tab/>
          </w:r>
          <w:r>
            <w:fldChar w:fldCharType="begin"/>
          </w:r>
          <w:r>
            <w:instrText xml:space="preserve"> PAGEREF _Toc106032984 \h </w:instrText>
          </w:r>
          <w:r>
            <w:fldChar w:fldCharType="separate"/>
          </w:r>
          <w:r>
            <w:t>4</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"_Toc106032985" </w:instrText>
          </w:r>
          <w:r>
            <w:fldChar w:fldCharType="separate"/>
          </w:r>
          <w:r>
            <w:rPr>
              <w:rStyle w:val="19"/>
            </w:rPr>
            <w:t>3.</w:t>
          </w:r>
          <w:r>
            <w:rPr>
              <w:rStyle w:val="19"/>
              <w:rFonts w:hint="eastAsia"/>
            </w:rPr>
            <w:t>产业结构持续优化</w:t>
          </w:r>
          <w:r>
            <w:tab/>
          </w:r>
          <w:r>
            <w:fldChar w:fldCharType="begin"/>
          </w:r>
          <w:r>
            <w:instrText xml:space="preserve"> PAGEREF _Toc106032985 \h </w:instrText>
          </w:r>
          <w:r>
            <w:fldChar w:fldCharType="separate"/>
          </w:r>
          <w:r>
            <w:t>6</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"_Toc106032986" </w:instrText>
          </w:r>
          <w:r>
            <w:fldChar w:fldCharType="separate"/>
          </w:r>
          <w:r>
            <w:rPr>
              <w:rStyle w:val="19"/>
            </w:rPr>
            <w:t>4.</w:t>
          </w:r>
          <w:r>
            <w:rPr>
              <w:rStyle w:val="19"/>
              <w:rFonts w:hint="eastAsia"/>
            </w:rPr>
            <w:t>重点领域节能成效显著</w:t>
          </w:r>
          <w:r>
            <w:tab/>
          </w:r>
          <w:r>
            <w:fldChar w:fldCharType="begin"/>
          </w:r>
          <w:r>
            <w:instrText xml:space="preserve"> PAGEREF _Toc106032986 \h </w:instrText>
          </w:r>
          <w:r>
            <w:fldChar w:fldCharType="separate"/>
          </w:r>
          <w:r>
            <w:t>7</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"_Toc106032987" </w:instrText>
          </w:r>
          <w:r>
            <w:fldChar w:fldCharType="separate"/>
          </w:r>
          <w:r>
            <w:rPr>
              <w:rStyle w:val="19"/>
              <w:rFonts w:hint="eastAsia"/>
            </w:rPr>
            <w:t>第二节</w:t>
          </w:r>
          <w:r>
            <w:rPr>
              <w:rStyle w:val="19"/>
            </w:rPr>
            <w:t xml:space="preserve">  </w:t>
          </w:r>
          <w:r>
            <w:rPr>
              <w:rStyle w:val="19"/>
              <w:rFonts w:hint="eastAsia"/>
            </w:rPr>
            <w:t>存在问题</w:t>
          </w:r>
          <w:r>
            <w:tab/>
          </w:r>
          <w:r>
            <w:fldChar w:fldCharType="begin"/>
          </w:r>
          <w:r>
            <w:instrText xml:space="preserve"> PAGEREF _Toc106032987 \h </w:instrText>
          </w:r>
          <w:r>
            <w:fldChar w:fldCharType="separate"/>
          </w:r>
          <w:r>
            <w:t>9</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"_Toc106032988" </w:instrText>
          </w:r>
          <w:r>
            <w:fldChar w:fldCharType="separate"/>
          </w:r>
          <w:r>
            <w:rPr>
              <w:rStyle w:val="19"/>
            </w:rPr>
            <w:t>1.“</w:t>
          </w:r>
          <w:r>
            <w:rPr>
              <w:rStyle w:val="19"/>
              <w:rFonts w:hint="eastAsia"/>
            </w:rPr>
            <w:t>煤改气</w:t>
          </w:r>
          <w:r>
            <w:rPr>
              <w:rStyle w:val="19"/>
            </w:rPr>
            <w:t>”</w:t>
          </w:r>
          <w:r>
            <w:rPr>
              <w:rStyle w:val="19"/>
              <w:rFonts w:hint="eastAsia"/>
            </w:rPr>
            <w:t>工作推行困难</w:t>
          </w:r>
          <w:r>
            <w:tab/>
          </w:r>
          <w:r>
            <w:fldChar w:fldCharType="begin"/>
          </w:r>
          <w:r>
            <w:instrText xml:space="preserve"> PAGEREF _Toc106032988 \h </w:instrText>
          </w:r>
          <w:r>
            <w:fldChar w:fldCharType="separate"/>
          </w:r>
          <w:r>
            <w:t>9</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"_Toc106032989" </w:instrText>
          </w:r>
          <w:r>
            <w:fldChar w:fldCharType="separate"/>
          </w:r>
          <w:r>
            <w:rPr>
              <w:rStyle w:val="19"/>
            </w:rPr>
            <w:t>2.</w:t>
          </w:r>
          <w:r>
            <w:rPr>
              <w:rStyle w:val="19"/>
              <w:rFonts w:hint="eastAsia"/>
            </w:rPr>
            <w:t>企业节能降耗内生动力不足</w:t>
          </w:r>
          <w:r>
            <w:tab/>
          </w:r>
          <w:r>
            <w:fldChar w:fldCharType="begin"/>
          </w:r>
          <w:r>
            <w:instrText xml:space="preserve"> PAGEREF _Toc106032989 \h </w:instrText>
          </w:r>
          <w:r>
            <w:fldChar w:fldCharType="separate"/>
          </w:r>
          <w:r>
            <w:t>9</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"_Toc106032990" </w:instrText>
          </w:r>
          <w:r>
            <w:fldChar w:fldCharType="separate"/>
          </w:r>
          <w:r>
            <w:rPr>
              <w:rStyle w:val="19"/>
            </w:rPr>
            <w:t>3.</w:t>
          </w:r>
          <w:r>
            <w:rPr>
              <w:rStyle w:val="19"/>
              <w:rFonts w:hint="eastAsia"/>
            </w:rPr>
            <w:t>非工业用电需求上升明显</w:t>
          </w:r>
          <w:r>
            <w:tab/>
          </w:r>
          <w:r>
            <w:fldChar w:fldCharType="begin"/>
          </w:r>
          <w:r>
            <w:instrText xml:space="preserve"> PAGEREF _Toc106032990 \h </w:instrText>
          </w:r>
          <w:r>
            <w:fldChar w:fldCharType="separate"/>
          </w:r>
          <w:r>
            <w:t>10</w:t>
          </w:r>
          <w:r>
            <w:fldChar w:fldCharType="end"/>
          </w:r>
          <w:r>
            <w:fldChar w:fldCharType="end"/>
          </w:r>
        </w:p>
        <w:p>
          <w:pPr>
            <w:pStyle w:val="12"/>
            <w:tabs>
              <w:tab w:val="right" w:leader="dot" w:pos="8296"/>
            </w:tabs>
            <w:ind w:firstLine="640"/>
            <w:rPr>
              <w:rFonts w:asciiTheme="minorHAnsi" w:hAnsiTheme="minorHAnsi" w:eastAsiaTheme="minorEastAsia" w:cstheme="minorBidi"/>
              <w:sz w:val="21"/>
              <w:szCs w:val="22"/>
            </w:rPr>
          </w:pPr>
          <w:r>
            <w:fldChar w:fldCharType="begin"/>
          </w:r>
          <w:r>
            <w:instrText xml:space="preserve"> HYPERLINK \l "_Toc106032991" </w:instrText>
          </w:r>
          <w:r>
            <w:fldChar w:fldCharType="separate"/>
          </w:r>
          <w:r>
            <w:rPr>
              <w:rStyle w:val="19"/>
              <w:rFonts w:hint="eastAsia"/>
            </w:rPr>
            <w:t>第二章</w:t>
          </w:r>
          <w:r>
            <w:rPr>
              <w:rStyle w:val="19"/>
            </w:rPr>
            <w:t xml:space="preserve">  </w:t>
          </w:r>
          <w:r>
            <w:rPr>
              <w:rStyle w:val="19"/>
              <w:rFonts w:hint="eastAsia"/>
            </w:rPr>
            <w:t>面临形势</w:t>
          </w:r>
          <w:r>
            <w:tab/>
          </w:r>
          <w:r>
            <w:fldChar w:fldCharType="begin"/>
          </w:r>
          <w:r>
            <w:instrText xml:space="preserve"> PAGEREF _Toc106032991 \h </w:instrText>
          </w:r>
          <w:r>
            <w:fldChar w:fldCharType="separate"/>
          </w:r>
          <w:r>
            <w:t>11</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"_Toc106032992" </w:instrText>
          </w:r>
          <w:r>
            <w:fldChar w:fldCharType="separate"/>
          </w:r>
          <w:r>
            <w:rPr>
              <w:rStyle w:val="19"/>
              <w:rFonts w:hint="eastAsia"/>
            </w:rPr>
            <w:t>第一节</w:t>
          </w:r>
          <w:r>
            <w:rPr>
              <w:rStyle w:val="19"/>
            </w:rPr>
            <w:t xml:space="preserve">  </w:t>
          </w:r>
          <w:r>
            <w:rPr>
              <w:rStyle w:val="19"/>
              <w:rFonts w:hint="eastAsia"/>
            </w:rPr>
            <w:t>发展机遇</w:t>
          </w:r>
          <w:r>
            <w:tab/>
          </w:r>
          <w:r>
            <w:fldChar w:fldCharType="begin"/>
          </w:r>
          <w:r>
            <w:instrText xml:space="preserve"> PAGEREF _Toc106032992 \h </w:instrText>
          </w:r>
          <w:r>
            <w:fldChar w:fldCharType="separate"/>
          </w:r>
          <w:r>
            <w:t>11</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"_Toc106032993" </w:instrText>
          </w:r>
          <w:r>
            <w:fldChar w:fldCharType="separate"/>
          </w:r>
          <w:r>
            <w:rPr>
              <w:rStyle w:val="19"/>
              <w:rFonts w:hint="eastAsia"/>
            </w:rPr>
            <w:t>第二节</w:t>
          </w:r>
          <w:r>
            <w:rPr>
              <w:rStyle w:val="19"/>
            </w:rPr>
            <w:t xml:space="preserve">  </w:t>
          </w:r>
          <w:r>
            <w:rPr>
              <w:rStyle w:val="19"/>
              <w:rFonts w:hint="eastAsia"/>
            </w:rPr>
            <w:t>制约挑战</w:t>
          </w:r>
          <w:r>
            <w:tab/>
          </w:r>
          <w:r>
            <w:fldChar w:fldCharType="begin"/>
          </w:r>
          <w:r>
            <w:instrText xml:space="preserve"> PAGEREF _Toc106032993 \h </w:instrText>
          </w:r>
          <w:r>
            <w:fldChar w:fldCharType="separate"/>
          </w:r>
          <w:r>
            <w:t>13</w:t>
          </w:r>
          <w:r>
            <w:fldChar w:fldCharType="end"/>
          </w:r>
          <w:r>
            <w:fldChar w:fldCharType="end"/>
          </w:r>
        </w:p>
        <w:p>
          <w:pPr>
            <w:pStyle w:val="12"/>
            <w:tabs>
              <w:tab w:val="right" w:leader="dot" w:pos="8296"/>
            </w:tabs>
            <w:ind w:firstLine="640"/>
            <w:rPr>
              <w:rFonts w:asciiTheme="minorHAnsi" w:hAnsiTheme="minorHAnsi" w:eastAsiaTheme="minorEastAsia" w:cstheme="minorBidi"/>
              <w:sz w:val="21"/>
              <w:szCs w:val="22"/>
            </w:rPr>
          </w:pPr>
          <w:r>
            <w:fldChar w:fldCharType="begin"/>
          </w:r>
          <w:r>
            <w:instrText xml:space="preserve"> HYPERLINK \l "_Toc106032994" </w:instrText>
          </w:r>
          <w:r>
            <w:fldChar w:fldCharType="separate"/>
          </w:r>
          <w:r>
            <w:rPr>
              <w:rStyle w:val="19"/>
              <w:rFonts w:hint="eastAsia"/>
            </w:rPr>
            <w:t>第三章</w:t>
          </w:r>
          <w:r>
            <w:rPr>
              <w:rStyle w:val="19"/>
            </w:rPr>
            <w:t xml:space="preserve">  </w:t>
          </w:r>
          <w:r>
            <w:rPr>
              <w:rStyle w:val="19"/>
              <w:rFonts w:hint="eastAsia"/>
            </w:rPr>
            <w:t>指导思想、基本原则和节能目标</w:t>
          </w:r>
          <w:r>
            <w:tab/>
          </w:r>
          <w:r>
            <w:fldChar w:fldCharType="begin"/>
          </w:r>
          <w:r>
            <w:instrText xml:space="preserve"> PAGEREF _Toc106032994 \h </w:instrText>
          </w:r>
          <w:r>
            <w:fldChar w:fldCharType="separate"/>
          </w:r>
          <w:r>
            <w:t>15</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"_Toc106032995" </w:instrText>
          </w:r>
          <w:r>
            <w:fldChar w:fldCharType="separate"/>
          </w:r>
          <w:r>
            <w:rPr>
              <w:rStyle w:val="19"/>
              <w:rFonts w:hint="eastAsia"/>
            </w:rPr>
            <w:t>第一节</w:t>
          </w:r>
          <w:r>
            <w:rPr>
              <w:rStyle w:val="19"/>
            </w:rPr>
            <w:t xml:space="preserve">  </w:t>
          </w:r>
          <w:r>
            <w:rPr>
              <w:rStyle w:val="19"/>
              <w:rFonts w:hint="eastAsia"/>
            </w:rPr>
            <w:t>指导思想</w:t>
          </w:r>
          <w:r>
            <w:tab/>
          </w:r>
          <w:r>
            <w:fldChar w:fldCharType="begin"/>
          </w:r>
          <w:r>
            <w:instrText xml:space="preserve"> PAGEREF _Toc106032995 \h </w:instrText>
          </w:r>
          <w:r>
            <w:fldChar w:fldCharType="separate"/>
          </w:r>
          <w:r>
            <w:t>15</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"_Toc106032996" </w:instrText>
          </w:r>
          <w:r>
            <w:fldChar w:fldCharType="separate"/>
          </w:r>
          <w:r>
            <w:rPr>
              <w:rStyle w:val="19"/>
              <w:rFonts w:hint="eastAsia"/>
            </w:rPr>
            <w:t>第二节</w:t>
          </w:r>
          <w:r>
            <w:rPr>
              <w:rStyle w:val="19"/>
            </w:rPr>
            <w:t xml:space="preserve">  </w:t>
          </w:r>
          <w:r>
            <w:rPr>
              <w:rStyle w:val="19"/>
              <w:rFonts w:hint="eastAsia"/>
            </w:rPr>
            <w:t>基本原则</w:t>
          </w:r>
          <w:r>
            <w:tab/>
          </w:r>
          <w:r>
            <w:fldChar w:fldCharType="begin"/>
          </w:r>
          <w:r>
            <w:instrText xml:space="preserve"> PAGEREF _Toc106032996 \h </w:instrText>
          </w:r>
          <w:r>
            <w:fldChar w:fldCharType="separate"/>
          </w:r>
          <w:r>
            <w:t>15</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"_Toc106032997" </w:instrText>
          </w:r>
          <w:r>
            <w:fldChar w:fldCharType="separate"/>
          </w:r>
          <w:r>
            <w:rPr>
              <w:rStyle w:val="19"/>
              <w:rFonts w:hint="eastAsia"/>
            </w:rPr>
            <w:t>第三节</w:t>
          </w:r>
          <w:r>
            <w:rPr>
              <w:rStyle w:val="19"/>
            </w:rPr>
            <w:t xml:space="preserve">  </w:t>
          </w:r>
          <w:r>
            <w:rPr>
              <w:rStyle w:val="19"/>
              <w:rFonts w:hint="eastAsia"/>
            </w:rPr>
            <w:t>节能目标</w:t>
          </w:r>
          <w:r>
            <w:tab/>
          </w:r>
          <w:r>
            <w:fldChar w:fldCharType="begin"/>
          </w:r>
          <w:r>
            <w:instrText xml:space="preserve"> PAGEREF _Toc106032997 \h </w:instrText>
          </w:r>
          <w:r>
            <w:fldChar w:fldCharType="separate"/>
          </w:r>
          <w:r>
            <w:t>17</w:t>
          </w:r>
          <w:r>
            <w:fldChar w:fldCharType="end"/>
          </w:r>
          <w:r>
            <w:fldChar w:fldCharType="end"/>
          </w:r>
        </w:p>
        <w:p>
          <w:pPr>
            <w:pStyle w:val="12"/>
            <w:tabs>
              <w:tab w:val="right" w:leader="dot" w:pos="8296"/>
            </w:tabs>
            <w:ind w:firstLine="640"/>
            <w:rPr>
              <w:rFonts w:asciiTheme="minorHAnsi" w:hAnsiTheme="minorHAnsi" w:eastAsiaTheme="minorEastAsia" w:cstheme="minorBidi"/>
              <w:sz w:val="21"/>
              <w:szCs w:val="22"/>
            </w:rPr>
          </w:pPr>
          <w:r>
            <w:fldChar w:fldCharType="begin"/>
          </w:r>
          <w:r>
            <w:instrText xml:space="preserve"> HYPERLINK \l "_Toc106032998" </w:instrText>
          </w:r>
          <w:r>
            <w:fldChar w:fldCharType="separate"/>
          </w:r>
          <w:r>
            <w:rPr>
              <w:rStyle w:val="19"/>
              <w:rFonts w:hint="eastAsia"/>
            </w:rPr>
            <w:t>第四章</w:t>
          </w:r>
          <w:r>
            <w:rPr>
              <w:rStyle w:val="19"/>
            </w:rPr>
            <w:t xml:space="preserve">  </w:t>
          </w:r>
          <w:r>
            <w:rPr>
              <w:rStyle w:val="19"/>
              <w:rFonts w:hint="eastAsia"/>
            </w:rPr>
            <w:t>主要任务和重点工程</w:t>
          </w:r>
          <w:r>
            <w:tab/>
          </w:r>
          <w:r>
            <w:fldChar w:fldCharType="begin"/>
          </w:r>
          <w:r>
            <w:instrText xml:space="preserve"> PAGEREF _Toc106032998 \h </w:instrText>
          </w:r>
          <w:r>
            <w:fldChar w:fldCharType="separate"/>
          </w:r>
          <w:r>
            <w:t>18</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"_Toc106032999" </w:instrText>
          </w:r>
          <w:r>
            <w:fldChar w:fldCharType="separate"/>
          </w:r>
          <w:r>
            <w:rPr>
              <w:rStyle w:val="19"/>
              <w:rFonts w:hint="eastAsia"/>
            </w:rPr>
            <w:t>第一节</w:t>
          </w:r>
          <w:r>
            <w:rPr>
              <w:rStyle w:val="19"/>
            </w:rPr>
            <w:t xml:space="preserve">  </w:t>
          </w:r>
          <w:r>
            <w:rPr>
              <w:rStyle w:val="19"/>
              <w:rFonts w:hint="eastAsia"/>
            </w:rPr>
            <w:t>严格落实节能目标监督</w:t>
          </w:r>
          <w:r>
            <w:tab/>
          </w:r>
          <w:r>
            <w:fldChar w:fldCharType="begin"/>
          </w:r>
          <w:r>
            <w:instrText xml:space="preserve"> PAGEREF _Toc106032999 \h </w:instrText>
          </w:r>
          <w:r>
            <w:fldChar w:fldCharType="separate"/>
          </w:r>
          <w:r>
            <w:t>18</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"_Toc106033000" </w:instrText>
          </w:r>
          <w:r>
            <w:fldChar w:fldCharType="separate"/>
          </w:r>
          <w:r>
            <w:rPr>
              <w:rStyle w:val="19"/>
              <w:rFonts w:hint="eastAsia"/>
            </w:rPr>
            <w:t>第二节</w:t>
          </w:r>
          <w:r>
            <w:rPr>
              <w:rStyle w:val="19"/>
            </w:rPr>
            <w:t xml:space="preserve">  </w:t>
          </w:r>
          <w:r>
            <w:rPr>
              <w:rStyle w:val="19"/>
              <w:rFonts w:hint="eastAsia"/>
            </w:rPr>
            <w:t>强化能耗双控管理</w:t>
          </w:r>
          <w:r>
            <w:tab/>
          </w:r>
          <w:r>
            <w:fldChar w:fldCharType="begin"/>
          </w:r>
          <w:r>
            <w:instrText xml:space="preserve"> PAGEREF _Toc106033000 \h </w:instrText>
          </w:r>
          <w:r>
            <w:fldChar w:fldCharType="separate"/>
          </w:r>
          <w:r>
            <w:t>18</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"_Toc106033001" </w:instrText>
          </w:r>
          <w:r>
            <w:fldChar w:fldCharType="separate"/>
          </w:r>
          <w:r>
            <w:rPr>
              <w:rStyle w:val="19"/>
              <w:rFonts w:hint="eastAsia"/>
            </w:rPr>
            <w:t>第三节</w:t>
          </w:r>
          <w:r>
            <w:rPr>
              <w:rStyle w:val="19"/>
            </w:rPr>
            <w:t xml:space="preserve">  </w:t>
          </w:r>
          <w:r>
            <w:rPr>
              <w:rStyle w:val="19"/>
              <w:rFonts w:hint="eastAsia"/>
            </w:rPr>
            <w:t>推动产业结构转型升级</w:t>
          </w:r>
          <w:r>
            <w:tab/>
          </w:r>
          <w:r>
            <w:fldChar w:fldCharType="begin"/>
          </w:r>
          <w:r>
            <w:instrText xml:space="preserve"> PAGEREF _Toc106033001 \h </w:instrText>
          </w:r>
          <w:r>
            <w:fldChar w:fldCharType="separate"/>
          </w:r>
          <w:r>
            <w:t>20</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"_Toc106033002" </w:instrText>
          </w:r>
          <w:r>
            <w:fldChar w:fldCharType="separate"/>
          </w:r>
          <w:r>
            <w:rPr>
              <w:rStyle w:val="19"/>
              <w:rFonts w:hint="eastAsia"/>
            </w:rPr>
            <w:t>第四节</w:t>
          </w:r>
          <w:r>
            <w:rPr>
              <w:rStyle w:val="19"/>
            </w:rPr>
            <w:t xml:space="preserve">  </w:t>
          </w:r>
          <w:r>
            <w:rPr>
              <w:rStyle w:val="19"/>
              <w:rFonts w:hint="eastAsia"/>
            </w:rPr>
            <w:t>优化调整能源结构</w:t>
          </w:r>
          <w:r>
            <w:tab/>
          </w:r>
          <w:r>
            <w:fldChar w:fldCharType="begin"/>
          </w:r>
          <w:r>
            <w:instrText xml:space="preserve"> PAGEREF _Toc106033002 \h </w:instrText>
          </w:r>
          <w:r>
            <w:fldChar w:fldCharType="separate"/>
          </w:r>
          <w:r>
            <w:t>20</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"_Toc106033003" </w:instrText>
          </w:r>
          <w:r>
            <w:fldChar w:fldCharType="separate"/>
          </w:r>
          <w:r>
            <w:rPr>
              <w:rStyle w:val="19"/>
            </w:rPr>
            <w:t>1.</w:t>
          </w:r>
          <w:r>
            <w:rPr>
              <w:rStyle w:val="19"/>
              <w:rFonts w:hint="eastAsia"/>
            </w:rPr>
            <w:t>大力发展可再生能源</w:t>
          </w:r>
          <w:r>
            <w:tab/>
          </w:r>
          <w:r>
            <w:fldChar w:fldCharType="begin"/>
          </w:r>
          <w:r>
            <w:instrText xml:space="preserve"> PAGEREF _Toc106033003 \h </w:instrText>
          </w:r>
          <w:r>
            <w:fldChar w:fldCharType="separate"/>
          </w:r>
          <w:r>
            <w:t>20</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"_Toc106033004" </w:instrText>
          </w:r>
          <w:r>
            <w:fldChar w:fldCharType="separate"/>
          </w:r>
          <w:r>
            <w:rPr>
              <w:rStyle w:val="19"/>
            </w:rPr>
            <w:t>2.</w:t>
          </w:r>
          <w:r>
            <w:rPr>
              <w:rStyle w:val="19"/>
              <w:rFonts w:hint="eastAsia"/>
            </w:rPr>
            <w:t>加快建设抽水蓄能电站</w:t>
          </w:r>
          <w:r>
            <w:tab/>
          </w:r>
          <w:r>
            <w:fldChar w:fldCharType="begin"/>
          </w:r>
          <w:r>
            <w:instrText xml:space="preserve"> PAGEREF _Toc106033004 \h </w:instrText>
          </w:r>
          <w:r>
            <w:fldChar w:fldCharType="separate"/>
          </w:r>
          <w:r>
            <w:t>22</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"_Toc106033005" </w:instrText>
          </w:r>
          <w:r>
            <w:fldChar w:fldCharType="separate"/>
          </w:r>
          <w:r>
            <w:rPr>
              <w:rStyle w:val="19"/>
            </w:rPr>
            <w:t>3.</w:t>
          </w:r>
          <w:r>
            <w:rPr>
              <w:rStyle w:val="19"/>
              <w:rFonts w:hint="eastAsia"/>
            </w:rPr>
            <w:t>积极发展天然气发电</w:t>
          </w:r>
          <w:r>
            <w:tab/>
          </w:r>
          <w:r>
            <w:fldChar w:fldCharType="begin"/>
          </w:r>
          <w:r>
            <w:instrText xml:space="preserve"> PAGEREF _Toc106033005 \h </w:instrText>
          </w:r>
          <w:r>
            <w:fldChar w:fldCharType="separate"/>
          </w:r>
          <w:r>
            <w:t>22</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"_Toc106033006" </w:instrText>
          </w:r>
          <w:r>
            <w:fldChar w:fldCharType="separate"/>
          </w:r>
          <w:r>
            <w:rPr>
              <w:rStyle w:val="19"/>
            </w:rPr>
            <w:t>4.</w:t>
          </w:r>
          <w:r>
            <w:rPr>
              <w:rStyle w:val="19"/>
              <w:rFonts w:hint="eastAsia"/>
            </w:rPr>
            <w:t>科学有序发展清洁煤电</w:t>
          </w:r>
          <w:r>
            <w:tab/>
          </w:r>
          <w:r>
            <w:fldChar w:fldCharType="begin"/>
          </w:r>
          <w:r>
            <w:instrText xml:space="preserve"> PAGEREF _Toc106033006 \h </w:instrText>
          </w:r>
          <w:r>
            <w:fldChar w:fldCharType="separate"/>
          </w:r>
          <w:r>
            <w:t>22</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"_Toc106033007" </w:instrText>
          </w:r>
          <w:r>
            <w:fldChar w:fldCharType="separate"/>
          </w:r>
          <w:r>
            <w:rPr>
              <w:rStyle w:val="19"/>
              <w:rFonts w:hint="eastAsia"/>
            </w:rPr>
            <w:t>第五节</w:t>
          </w:r>
          <w:r>
            <w:rPr>
              <w:rStyle w:val="19"/>
            </w:rPr>
            <w:t xml:space="preserve">  </w:t>
          </w:r>
          <w:r>
            <w:rPr>
              <w:rStyle w:val="19"/>
              <w:rFonts w:hint="eastAsia"/>
            </w:rPr>
            <w:t>深化工业领域节能</w:t>
          </w:r>
          <w:r>
            <w:tab/>
          </w:r>
          <w:r>
            <w:fldChar w:fldCharType="begin"/>
          </w:r>
          <w:r>
            <w:instrText xml:space="preserve"> PAGEREF _Toc106033007 \h </w:instrText>
          </w:r>
          <w:r>
            <w:fldChar w:fldCharType="separate"/>
          </w:r>
          <w:r>
            <w:t>24</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"_Toc106033008" </w:instrText>
          </w:r>
          <w:r>
            <w:fldChar w:fldCharType="separate"/>
          </w:r>
          <w:r>
            <w:rPr>
              <w:rStyle w:val="19"/>
              <w:rFonts w:hint="eastAsia"/>
            </w:rPr>
            <w:t>第六节</w:t>
          </w:r>
          <w:r>
            <w:rPr>
              <w:rStyle w:val="19"/>
            </w:rPr>
            <w:t xml:space="preserve">  </w:t>
          </w:r>
          <w:r>
            <w:rPr>
              <w:rStyle w:val="19"/>
              <w:rFonts w:hint="eastAsia"/>
            </w:rPr>
            <w:t>发展新基建领域节能</w:t>
          </w:r>
          <w:r>
            <w:tab/>
          </w:r>
          <w:r>
            <w:fldChar w:fldCharType="begin"/>
          </w:r>
          <w:r>
            <w:instrText xml:space="preserve"> PAGEREF _Toc106033008 \h </w:instrText>
          </w:r>
          <w:r>
            <w:fldChar w:fldCharType="separate"/>
          </w:r>
          <w:r>
            <w:t>28</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"_Toc106033009" </w:instrText>
          </w:r>
          <w:r>
            <w:fldChar w:fldCharType="separate"/>
          </w:r>
          <w:r>
            <w:rPr>
              <w:rStyle w:val="19"/>
              <w:rFonts w:hint="eastAsia"/>
            </w:rPr>
            <w:t>第七节</w:t>
          </w:r>
          <w:r>
            <w:rPr>
              <w:rStyle w:val="19"/>
            </w:rPr>
            <w:t xml:space="preserve">  </w:t>
          </w:r>
          <w:r>
            <w:rPr>
              <w:rStyle w:val="19"/>
              <w:rFonts w:hint="eastAsia"/>
            </w:rPr>
            <w:t>加快建筑领域节能</w:t>
          </w:r>
          <w:r>
            <w:tab/>
          </w:r>
          <w:r>
            <w:fldChar w:fldCharType="begin"/>
          </w:r>
          <w:r>
            <w:instrText xml:space="preserve"> PAGEREF _Toc106033009 \h </w:instrText>
          </w:r>
          <w:r>
            <w:fldChar w:fldCharType="separate"/>
          </w:r>
          <w:r>
            <w:t>30</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"_Toc106033010" </w:instrText>
          </w:r>
          <w:r>
            <w:fldChar w:fldCharType="separate"/>
          </w:r>
          <w:r>
            <w:rPr>
              <w:rStyle w:val="19"/>
            </w:rPr>
            <w:t>1.</w:t>
          </w:r>
          <w:r>
            <w:rPr>
              <w:rStyle w:val="19"/>
              <w:rFonts w:hint="eastAsia" w:eastAsia="楷体_GB2312"/>
            </w:rPr>
            <w:t>高质量发展绿色建筑</w:t>
          </w:r>
          <w:r>
            <w:tab/>
          </w:r>
          <w:r>
            <w:fldChar w:fldCharType="begin"/>
          </w:r>
          <w:r>
            <w:instrText xml:space="preserve"> PAGEREF _Toc106033010 \h </w:instrText>
          </w:r>
          <w:r>
            <w:fldChar w:fldCharType="separate"/>
          </w:r>
          <w:r>
            <w:t>30</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"_Toc106033011" </w:instrText>
          </w:r>
          <w:r>
            <w:fldChar w:fldCharType="separate"/>
          </w:r>
          <w:r>
            <w:rPr>
              <w:rStyle w:val="19"/>
            </w:rPr>
            <w:t>2.</w:t>
          </w:r>
          <w:r>
            <w:rPr>
              <w:rStyle w:val="19"/>
              <w:rFonts w:hint="eastAsia"/>
            </w:rPr>
            <w:t>加快新型建筑工业化发展</w:t>
          </w:r>
          <w:r>
            <w:tab/>
          </w:r>
          <w:r>
            <w:fldChar w:fldCharType="begin"/>
          </w:r>
          <w:r>
            <w:instrText xml:space="preserve"> PAGEREF _Toc106033011 \h </w:instrText>
          </w:r>
          <w:r>
            <w:fldChar w:fldCharType="separate"/>
          </w:r>
          <w:r>
            <w:t>31</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"_Toc106033012" </w:instrText>
          </w:r>
          <w:r>
            <w:fldChar w:fldCharType="separate"/>
          </w:r>
          <w:r>
            <w:rPr>
              <w:rStyle w:val="19"/>
            </w:rPr>
            <w:t>3.</w:t>
          </w:r>
          <w:r>
            <w:rPr>
              <w:rStyle w:val="19"/>
              <w:rFonts w:hint="eastAsia"/>
            </w:rPr>
            <w:t>推进可再生能源高品质应用</w:t>
          </w:r>
          <w:r>
            <w:tab/>
          </w:r>
          <w:r>
            <w:fldChar w:fldCharType="begin"/>
          </w:r>
          <w:r>
            <w:instrText xml:space="preserve"> PAGEREF _Toc106033012 \h </w:instrText>
          </w:r>
          <w:r>
            <w:fldChar w:fldCharType="separate"/>
          </w:r>
          <w:r>
            <w:t>31</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"_Toc106033013" </w:instrText>
          </w:r>
          <w:r>
            <w:fldChar w:fldCharType="separate"/>
          </w:r>
          <w:r>
            <w:rPr>
              <w:rStyle w:val="19"/>
            </w:rPr>
            <w:t>4.</w:t>
          </w:r>
          <w:r>
            <w:rPr>
              <w:rStyle w:val="19"/>
              <w:rFonts w:hint="eastAsia"/>
            </w:rPr>
            <w:t>推动既有建筑能效和绿色品质提升</w:t>
          </w:r>
          <w:r>
            <w:tab/>
          </w:r>
          <w:r>
            <w:fldChar w:fldCharType="begin"/>
          </w:r>
          <w:r>
            <w:instrText xml:space="preserve"> PAGEREF _Toc106033013 \h </w:instrText>
          </w:r>
          <w:r>
            <w:fldChar w:fldCharType="separate"/>
          </w:r>
          <w:r>
            <w:t>31</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"_Toc106033014" </w:instrText>
          </w:r>
          <w:r>
            <w:fldChar w:fldCharType="separate"/>
          </w:r>
          <w:r>
            <w:rPr>
              <w:rStyle w:val="19"/>
              <w:rFonts w:hint="eastAsia"/>
            </w:rPr>
            <w:t>第八节</w:t>
          </w:r>
          <w:r>
            <w:rPr>
              <w:rStyle w:val="19"/>
            </w:rPr>
            <w:t xml:space="preserve">  </w:t>
          </w:r>
          <w:r>
            <w:rPr>
              <w:rStyle w:val="19"/>
              <w:rFonts w:hint="eastAsia"/>
            </w:rPr>
            <w:t>推进交通运输节能</w:t>
          </w:r>
          <w:r>
            <w:tab/>
          </w:r>
          <w:r>
            <w:fldChar w:fldCharType="begin"/>
          </w:r>
          <w:r>
            <w:instrText xml:space="preserve"> PAGEREF _Toc106033014 \h </w:instrText>
          </w:r>
          <w:r>
            <w:fldChar w:fldCharType="separate"/>
          </w:r>
          <w:r>
            <w:t>32</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"_Toc106033015" </w:instrText>
          </w:r>
          <w:r>
            <w:fldChar w:fldCharType="separate"/>
          </w:r>
          <w:r>
            <w:rPr>
              <w:rStyle w:val="19"/>
            </w:rPr>
            <w:t>1.</w:t>
          </w:r>
          <w:r>
            <w:rPr>
              <w:rStyle w:val="19"/>
              <w:rFonts w:hint="eastAsia"/>
            </w:rPr>
            <w:t>构建节能高效综合交通运输体系</w:t>
          </w:r>
          <w:r>
            <w:tab/>
          </w:r>
          <w:r>
            <w:fldChar w:fldCharType="begin"/>
          </w:r>
          <w:r>
            <w:instrText xml:space="preserve"> PAGEREF _Toc106033015 \h </w:instrText>
          </w:r>
          <w:r>
            <w:fldChar w:fldCharType="separate"/>
          </w:r>
          <w:r>
            <w:t>32</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"_Toc106033016" </w:instrText>
          </w:r>
          <w:r>
            <w:fldChar w:fldCharType="separate"/>
          </w:r>
          <w:r>
            <w:rPr>
              <w:rStyle w:val="19"/>
            </w:rPr>
            <w:t>2.</w:t>
          </w:r>
          <w:r>
            <w:rPr>
              <w:rStyle w:val="19"/>
              <w:rFonts w:hint="eastAsia"/>
            </w:rPr>
            <w:t>逐步提升交通运输智能化水平</w:t>
          </w:r>
          <w:r>
            <w:tab/>
          </w:r>
          <w:r>
            <w:fldChar w:fldCharType="begin"/>
          </w:r>
          <w:r>
            <w:instrText xml:space="preserve"> PAGEREF _Toc106033016 \h </w:instrText>
          </w:r>
          <w:r>
            <w:fldChar w:fldCharType="separate"/>
          </w:r>
          <w:r>
            <w:t>32</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"_Toc106033017" </w:instrText>
          </w:r>
          <w:r>
            <w:fldChar w:fldCharType="separate"/>
          </w:r>
          <w:r>
            <w:rPr>
              <w:rStyle w:val="19"/>
              <w:rFonts w:hint="eastAsia"/>
            </w:rPr>
            <w:t>第九节</w:t>
          </w:r>
          <w:r>
            <w:rPr>
              <w:rStyle w:val="19"/>
            </w:rPr>
            <w:t xml:space="preserve">  </w:t>
          </w:r>
          <w:r>
            <w:rPr>
              <w:rStyle w:val="19"/>
              <w:rFonts w:hint="eastAsia"/>
            </w:rPr>
            <w:t>提升公共机构和市政园林节能</w:t>
          </w:r>
          <w:r>
            <w:tab/>
          </w:r>
          <w:r>
            <w:fldChar w:fldCharType="begin"/>
          </w:r>
          <w:r>
            <w:instrText xml:space="preserve"> PAGEREF _Toc106033017 \h </w:instrText>
          </w:r>
          <w:r>
            <w:fldChar w:fldCharType="separate"/>
          </w:r>
          <w:r>
            <w:t>33</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"_Toc106033018" </w:instrText>
          </w:r>
          <w:r>
            <w:fldChar w:fldCharType="separate"/>
          </w:r>
          <w:r>
            <w:rPr>
              <w:rStyle w:val="19"/>
            </w:rPr>
            <w:t>1.</w:t>
          </w:r>
          <w:r>
            <w:rPr>
              <w:rStyle w:val="19"/>
              <w:rFonts w:hint="eastAsia"/>
            </w:rPr>
            <w:t>提升公共机构节能管理水平</w:t>
          </w:r>
          <w:r>
            <w:tab/>
          </w:r>
          <w:r>
            <w:fldChar w:fldCharType="begin"/>
          </w:r>
          <w:r>
            <w:instrText xml:space="preserve"> PAGEREF _Toc106033018 \h </w:instrText>
          </w:r>
          <w:r>
            <w:fldChar w:fldCharType="separate"/>
          </w:r>
          <w:r>
            <w:t>33</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"_Toc106033019" </w:instrText>
          </w:r>
          <w:r>
            <w:fldChar w:fldCharType="separate"/>
          </w:r>
          <w:r>
            <w:rPr>
              <w:rStyle w:val="19"/>
            </w:rPr>
            <w:t>2.</w:t>
          </w:r>
          <w:r>
            <w:rPr>
              <w:rStyle w:val="19"/>
              <w:rFonts w:hint="eastAsia"/>
            </w:rPr>
            <w:t>深化节约型公共机构示范作用</w:t>
          </w:r>
          <w:r>
            <w:tab/>
          </w:r>
          <w:r>
            <w:fldChar w:fldCharType="begin"/>
          </w:r>
          <w:r>
            <w:instrText xml:space="preserve"> PAGEREF _Toc106033019 \h </w:instrText>
          </w:r>
          <w:r>
            <w:fldChar w:fldCharType="separate"/>
          </w:r>
          <w:r>
            <w:t>34</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"_Toc106033020" </w:instrText>
          </w:r>
          <w:r>
            <w:fldChar w:fldCharType="separate"/>
          </w:r>
          <w:r>
            <w:rPr>
              <w:rStyle w:val="19"/>
            </w:rPr>
            <w:t>3.</w:t>
          </w:r>
          <w:r>
            <w:rPr>
              <w:rStyle w:val="19"/>
              <w:rFonts w:hint="eastAsia"/>
            </w:rPr>
            <w:t>推行节约型机关创建</w:t>
          </w:r>
          <w:r>
            <w:tab/>
          </w:r>
          <w:r>
            <w:fldChar w:fldCharType="begin"/>
          </w:r>
          <w:r>
            <w:instrText xml:space="preserve"> PAGEREF _Toc106033020 \h </w:instrText>
          </w:r>
          <w:r>
            <w:fldChar w:fldCharType="separate"/>
          </w:r>
          <w:r>
            <w:t>34</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"_Toc106033021" </w:instrText>
          </w:r>
          <w:r>
            <w:fldChar w:fldCharType="separate"/>
          </w:r>
          <w:r>
            <w:rPr>
              <w:rStyle w:val="19"/>
            </w:rPr>
            <w:t>4.</w:t>
          </w:r>
          <w:r>
            <w:rPr>
              <w:rStyle w:val="19"/>
              <w:rFonts w:hint="eastAsia"/>
            </w:rPr>
            <w:t>加强市政园林照明节能</w:t>
          </w:r>
          <w:r>
            <w:tab/>
          </w:r>
          <w:r>
            <w:fldChar w:fldCharType="begin"/>
          </w:r>
          <w:r>
            <w:instrText xml:space="preserve"> PAGEREF _Toc106033021 \h </w:instrText>
          </w:r>
          <w:r>
            <w:fldChar w:fldCharType="separate"/>
          </w:r>
          <w:r>
            <w:t>35</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"_Toc106033022" </w:instrText>
          </w:r>
          <w:r>
            <w:fldChar w:fldCharType="separate"/>
          </w:r>
          <w:r>
            <w:rPr>
              <w:rStyle w:val="19"/>
              <w:rFonts w:hint="eastAsia"/>
            </w:rPr>
            <w:t>第十节</w:t>
          </w:r>
          <w:r>
            <w:rPr>
              <w:rStyle w:val="19"/>
            </w:rPr>
            <w:t xml:space="preserve">  </w:t>
          </w:r>
          <w:r>
            <w:rPr>
              <w:rStyle w:val="19"/>
              <w:rFonts w:hint="eastAsia"/>
            </w:rPr>
            <w:t>推广农业农村节能</w:t>
          </w:r>
          <w:r>
            <w:tab/>
          </w:r>
          <w:r>
            <w:fldChar w:fldCharType="begin"/>
          </w:r>
          <w:r>
            <w:instrText xml:space="preserve"> PAGEREF _Toc106033022 \h </w:instrText>
          </w:r>
          <w:r>
            <w:fldChar w:fldCharType="separate"/>
          </w:r>
          <w:r>
            <w:t>36</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"_Toc106033023" </w:instrText>
          </w:r>
          <w:r>
            <w:fldChar w:fldCharType="separate"/>
          </w:r>
          <w:r>
            <w:rPr>
              <w:rStyle w:val="19"/>
            </w:rPr>
            <w:t>1.</w:t>
          </w:r>
          <w:r>
            <w:rPr>
              <w:rStyle w:val="19"/>
              <w:rFonts w:hint="eastAsia"/>
            </w:rPr>
            <w:t>积极发展现代化农业</w:t>
          </w:r>
          <w:r>
            <w:tab/>
          </w:r>
          <w:r>
            <w:fldChar w:fldCharType="begin"/>
          </w:r>
          <w:r>
            <w:instrText xml:space="preserve"> PAGEREF _Toc106033023 \h </w:instrText>
          </w:r>
          <w:r>
            <w:fldChar w:fldCharType="separate"/>
          </w:r>
          <w:r>
            <w:t>36</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"_Toc106033024" </w:instrText>
          </w:r>
          <w:r>
            <w:fldChar w:fldCharType="separate"/>
          </w:r>
          <w:r>
            <w:rPr>
              <w:rStyle w:val="19"/>
            </w:rPr>
            <w:t>2.</w:t>
          </w:r>
          <w:r>
            <w:rPr>
              <w:rStyle w:val="19"/>
              <w:rFonts w:hint="eastAsia"/>
            </w:rPr>
            <w:t>推广节能低耗智能化农业装备技术</w:t>
          </w:r>
          <w:r>
            <w:tab/>
          </w:r>
          <w:r>
            <w:fldChar w:fldCharType="begin"/>
          </w:r>
          <w:r>
            <w:instrText xml:space="preserve"> PAGEREF _Toc106033024 \h </w:instrText>
          </w:r>
          <w:r>
            <w:fldChar w:fldCharType="separate"/>
          </w:r>
          <w:r>
            <w:t>36</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"_Toc106033025" </w:instrText>
          </w:r>
          <w:r>
            <w:fldChar w:fldCharType="separate"/>
          </w:r>
          <w:r>
            <w:rPr>
              <w:rStyle w:val="19"/>
            </w:rPr>
            <w:t>3.</w:t>
          </w:r>
          <w:r>
            <w:rPr>
              <w:rStyle w:val="19"/>
              <w:rFonts w:hint="eastAsia"/>
            </w:rPr>
            <w:t>建设生态宜居美丽乡村</w:t>
          </w:r>
          <w:r>
            <w:tab/>
          </w:r>
          <w:r>
            <w:fldChar w:fldCharType="begin"/>
          </w:r>
          <w:r>
            <w:instrText xml:space="preserve"> PAGEREF _Toc106033025 \h </w:instrText>
          </w:r>
          <w:r>
            <w:fldChar w:fldCharType="separate"/>
          </w:r>
          <w:r>
            <w:t>37</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"_Toc106033026" </w:instrText>
          </w:r>
          <w:r>
            <w:fldChar w:fldCharType="separate"/>
          </w:r>
          <w:r>
            <w:rPr>
              <w:rStyle w:val="19"/>
            </w:rPr>
            <w:t>4.</w:t>
          </w:r>
          <w:r>
            <w:rPr>
              <w:rStyle w:val="19"/>
              <w:rFonts w:hint="eastAsia"/>
            </w:rPr>
            <w:t>推进农村清洁能源开发利用</w:t>
          </w:r>
          <w:r>
            <w:tab/>
          </w:r>
          <w:r>
            <w:fldChar w:fldCharType="begin"/>
          </w:r>
          <w:r>
            <w:instrText xml:space="preserve"> PAGEREF _Toc106033026 \h </w:instrText>
          </w:r>
          <w:r>
            <w:fldChar w:fldCharType="separate"/>
          </w:r>
          <w:r>
            <w:t>37</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"_Toc106033027" </w:instrText>
          </w:r>
          <w:r>
            <w:fldChar w:fldCharType="separate"/>
          </w:r>
          <w:r>
            <w:rPr>
              <w:rStyle w:val="19"/>
              <w:rFonts w:hint="eastAsia"/>
            </w:rPr>
            <w:t>第十一节</w:t>
          </w:r>
          <w:r>
            <w:rPr>
              <w:rStyle w:val="19"/>
            </w:rPr>
            <w:t xml:space="preserve">  </w:t>
          </w:r>
          <w:r>
            <w:rPr>
              <w:rStyle w:val="19"/>
              <w:rFonts w:hint="eastAsia"/>
            </w:rPr>
            <w:t>实施商贸流通节能</w:t>
          </w:r>
          <w:r>
            <w:tab/>
          </w:r>
          <w:r>
            <w:fldChar w:fldCharType="begin"/>
          </w:r>
          <w:r>
            <w:instrText xml:space="preserve"> PAGEREF _Toc106033027 \h </w:instrText>
          </w:r>
          <w:r>
            <w:fldChar w:fldCharType="separate"/>
          </w:r>
          <w:r>
            <w:t>38</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"_Toc106033028" </w:instrText>
          </w:r>
          <w:r>
            <w:fldChar w:fldCharType="separate"/>
          </w:r>
          <w:r>
            <w:rPr>
              <w:rStyle w:val="19"/>
            </w:rPr>
            <w:t>1.</w:t>
          </w:r>
          <w:r>
            <w:rPr>
              <w:rStyle w:val="19"/>
              <w:rFonts w:hint="eastAsia"/>
            </w:rPr>
            <w:t>消费流通节能</w:t>
          </w:r>
          <w:r>
            <w:tab/>
          </w:r>
          <w:r>
            <w:fldChar w:fldCharType="begin"/>
          </w:r>
          <w:r>
            <w:instrText xml:space="preserve"> PAGEREF _Toc106033028 \h </w:instrText>
          </w:r>
          <w:r>
            <w:fldChar w:fldCharType="separate"/>
          </w:r>
          <w:r>
            <w:t>38</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"_Toc106033029" </w:instrText>
          </w:r>
          <w:r>
            <w:fldChar w:fldCharType="separate"/>
          </w:r>
          <w:r>
            <w:rPr>
              <w:rStyle w:val="19"/>
            </w:rPr>
            <w:t>2.</w:t>
          </w:r>
          <w:r>
            <w:rPr>
              <w:rStyle w:val="19"/>
              <w:rFonts w:hint="eastAsia"/>
            </w:rPr>
            <w:t>推进绿色管理与节能改造</w:t>
          </w:r>
          <w:r>
            <w:tab/>
          </w:r>
          <w:r>
            <w:fldChar w:fldCharType="begin"/>
          </w:r>
          <w:r>
            <w:instrText xml:space="preserve"> PAGEREF _Toc106033029 \h </w:instrText>
          </w:r>
          <w:r>
            <w:fldChar w:fldCharType="separate"/>
          </w:r>
          <w:r>
            <w:t>38</w:t>
          </w:r>
          <w:r>
            <w:fldChar w:fldCharType="end"/>
          </w:r>
          <w:r>
            <w:fldChar w:fldCharType="end"/>
          </w:r>
        </w:p>
        <w:p>
          <w:pPr>
            <w:pStyle w:val="8"/>
            <w:tabs>
              <w:tab w:val="right" w:leader="dot" w:pos="8296"/>
            </w:tabs>
            <w:ind w:left="1280" w:firstLine="560"/>
            <w:rPr>
              <w:rFonts w:asciiTheme="minorHAnsi" w:hAnsiTheme="minorHAnsi" w:eastAsiaTheme="minorEastAsia" w:cstheme="minorBidi"/>
              <w:sz w:val="21"/>
              <w:szCs w:val="22"/>
            </w:rPr>
          </w:pPr>
          <w:r>
            <w:fldChar w:fldCharType="begin"/>
          </w:r>
          <w:r>
            <w:instrText xml:space="preserve"> HYPERLINK \l "_Toc106033030" </w:instrText>
          </w:r>
          <w:r>
            <w:fldChar w:fldCharType="separate"/>
          </w:r>
          <w:r>
            <w:rPr>
              <w:rStyle w:val="19"/>
            </w:rPr>
            <w:t>3.</w:t>
          </w:r>
          <w:r>
            <w:rPr>
              <w:rStyle w:val="19"/>
              <w:rFonts w:hint="eastAsia"/>
            </w:rPr>
            <w:t>加快绿色仓储建设</w:t>
          </w:r>
          <w:r>
            <w:tab/>
          </w:r>
          <w:r>
            <w:fldChar w:fldCharType="begin"/>
          </w:r>
          <w:r>
            <w:instrText xml:space="preserve"> PAGEREF _Toc106033030 \h </w:instrText>
          </w:r>
          <w:r>
            <w:fldChar w:fldCharType="separate"/>
          </w:r>
          <w:r>
            <w:t>39</w:t>
          </w:r>
          <w:r>
            <w:fldChar w:fldCharType="end"/>
          </w:r>
          <w:r>
            <w:fldChar w:fldCharType="end"/>
          </w:r>
        </w:p>
        <w:p>
          <w:pPr>
            <w:pStyle w:val="12"/>
            <w:tabs>
              <w:tab w:val="right" w:leader="dot" w:pos="8296"/>
            </w:tabs>
            <w:ind w:firstLine="640"/>
            <w:rPr>
              <w:rFonts w:asciiTheme="minorHAnsi" w:hAnsiTheme="minorHAnsi" w:eastAsiaTheme="minorEastAsia" w:cstheme="minorBidi"/>
              <w:sz w:val="21"/>
              <w:szCs w:val="22"/>
            </w:rPr>
          </w:pPr>
          <w:r>
            <w:fldChar w:fldCharType="begin"/>
          </w:r>
          <w:r>
            <w:instrText xml:space="preserve"> HYPERLINK \l "_Toc106033031" </w:instrText>
          </w:r>
          <w:r>
            <w:fldChar w:fldCharType="separate"/>
          </w:r>
          <w:r>
            <w:rPr>
              <w:rStyle w:val="19"/>
              <w:rFonts w:hint="eastAsia"/>
            </w:rPr>
            <w:t>第五章</w:t>
          </w:r>
          <w:r>
            <w:rPr>
              <w:rStyle w:val="19"/>
            </w:rPr>
            <w:t xml:space="preserve">  </w:t>
          </w:r>
          <w:r>
            <w:rPr>
              <w:rStyle w:val="19"/>
              <w:rFonts w:hint="eastAsia"/>
            </w:rPr>
            <w:t>节能保障措施</w:t>
          </w:r>
          <w:r>
            <w:tab/>
          </w:r>
          <w:r>
            <w:fldChar w:fldCharType="begin"/>
          </w:r>
          <w:r>
            <w:instrText xml:space="preserve"> PAGEREF _Toc106033031 \h </w:instrText>
          </w:r>
          <w:r>
            <w:fldChar w:fldCharType="separate"/>
          </w:r>
          <w:r>
            <w:t>40</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"_Toc106033032" </w:instrText>
          </w:r>
          <w:r>
            <w:fldChar w:fldCharType="separate"/>
          </w:r>
          <w:r>
            <w:rPr>
              <w:rStyle w:val="19"/>
              <w:rFonts w:hint="eastAsia"/>
            </w:rPr>
            <w:t>第一节</w:t>
          </w:r>
          <w:r>
            <w:rPr>
              <w:rStyle w:val="19"/>
            </w:rPr>
            <w:t xml:space="preserve">  </w:t>
          </w:r>
          <w:r>
            <w:rPr>
              <w:rStyle w:val="19"/>
              <w:rFonts w:hint="eastAsia"/>
            </w:rPr>
            <w:t>加强组织领导</w:t>
          </w:r>
          <w:r>
            <w:tab/>
          </w:r>
          <w:r>
            <w:fldChar w:fldCharType="begin"/>
          </w:r>
          <w:r>
            <w:instrText xml:space="preserve"> PAGEREF _Toc106033032 \h </w:instrText>
          </w:r>
          <w:r>
            <w:fldChar w:fldCharType="separate"/>
          </w:r>
          <w:r>
            <w:t>40</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"_Toc106033033" </w:instrText>
          </w:r>
          <w:r>
            <w:fldChar w:fldCharType="separate"/>
          </w:r>
          <w:r>
            <w:rPr>
              <w:rStyle w:val="19"/>
              <w:rFonts w:hint="eastAsia"/>
            </w:rPr>
            <w:t>第二节</w:t>
          </w:r>
          <w:r>
            <w:rPr>
              <w:rStyle w:val="19"/>
            </w:rPr>
            <w:t xml:space="preserve">  </w:t>
          </w:r>
          <w:r>
            <w:rPr>
              <w:rStyle w:val="19"/>
              <w:rFonts w:hint="eastAsia"/>
            </w:rPr>
            <w:t>进一步强化节能目标责任制</w:t>
          </w:r>
          <w:r>
            <w:tab/>
          </w:r>
          <w:r>
            <w:fldChar w:fldCharType="begin"/>
          </w:r>
          <w:r>
            <w:instrText xml:space="preserve"> PAGEREF _Toc106033033 \h </w:instrText>
          </w:r>
          <w:r>
            <w:fldChar w:fldCharType="separate"/>
          </w:r>
          <w:r>
            <w:t>40</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"_Toc106033034" </w:instrText>
          </w:r>
          <w:r>
            <w:fldChar w:fldCharType="separate"/>
          </w:r>
          <w:r>
            <w:rPr>
              <w:rStyle w:val="19"/>
              <w:rFonts w:hint="eastAsia"/>
            </w:rPr>
            <w:t>第三节</w:t>
          </w:r>
          <w:r>
            <w:rPr>
              <w:rStyle w:val="19"/>
            </w:rPr>
            <w:t xml:space="preserve">  </w:t>
          </w:r>
          <w:r>
            <w:rPr>
              <w:rStyle w:val="19"/>
              <w:rFonts w:hint="eastAsia"/>
            </w:rPr>
            <w:t>加强节能执法监察</w:t>
          </w:r>
          <w:r>
            <w:tab/>
          </w:r>
          <w:r>
            <w:fldChar w:fldCharType="begin"/>
          </w:r>
          <w:r>
            <w:instrText xml:space="preserve"> PAGEREF _Toc106033034 \h </w:instrText>
          </w:r>
          <w:r>
            <w:fldChar w:fldCharType="separate"/>
          </w:r>
          <w:r>
            <w:t>41</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"_Toc106033035" </w:instrText>
          </w:r>
          <w:r>
            <w:fldChar w:fldCharType="separate"/>
          </w:r>
          <w:r>
            <w:rPr>
              <w:rStyle w:val="19"/>
              <w:rFonts w:hint="eastAsia"/>
            </w:rPr>
            <w:t>第四节</w:t>
          </w:r>
          <w:r>
            <w:rPr>
              <w:rStyle w:val="19"/>
            </w:rPr>
            <w:t xml:space="preserve">  </w:t>
          </w:r>
          <w:r>
            <w:rPr>
              <w:rStyle w:val="19"/>
              <w:rFonts w:hint="eastAsia"/>
            </w:rPr>
            <w:t>加强能耗分析和预警调控</w:t>
          </w:r>
          <w:r>
            <w:tab/>
          </w:r>
          <w:r>
            <w:fldChar w:fldCharType="begin"/>
          </w:r>
          <w:r>
            <w:instrText xml:space="preserve"> PAGEREF _Toc106033035 \h </w:instrText>
          </w:r>
          <w:r>
            <w:fldChar w:fldCharType="separate"/>
          </w:r>
          <w:r>
            <w:t>41</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"_Toc106033036" </w:instrText>
          </w:r>
          <w:r>
            <w:fldChar w:fldCharType="separate"/>
          </w:r>
          <w:r>
            <w:rPr>
              <w:rStyle w:val="19"/>
              <w:rFonts w:hint="eastAsia"/>
            </w:rPr>
            <w:t>第五节</w:t>
          </w:r>
          <w:r>
            <w:rPr>
              <w:rStyle w:val="19"/>
            </w:rPr>
            <w:t xml:space="preserve">  </w:t>
          </w:r>
          <w:r>
            <w:rPr>
              <w:rStyle w:val="19"/>
              <w:rFonts w:hint="eastAsia"/>
            </w:rPr>
            <w:t>完善价格、财税支持政策</w:t>
          </w:r>
          <w:r>
            <w:tab/>
          </w:r>
          <w:r>
            <w:fldChar w:fldCharType="begin"/>
          </w:r>
          <w:r>
            <w:instrText xml:space="preserve"> PAGEREF _Toc106033036 \h </w:instrText>
          </w:r>
          <w:r>
            <w:fldChar w:fldCharType="separate"/>
          </w:r>
          <w:r>
            <w:t>42</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"_Toc106033037" </w:instrText>
          </w:r>
          <w:r>
            <w:fldChar w:fldCharType="separate"/>
          </w:r>
          <w:r>
            <w:rPr>
              <w:rStyle w:val="19"/>
              <w:rFonts w:hint="eastAsia"/>
            </w:rPr>
            <w:t>第六节</w:t>
          </w:r>
          <w:r>
            <w:rPr>
              <w:rStyle w:val="19"/>
            </w:rPr>
            <w:t xml:space="preserve">  </w:t>
          </w:r>
          <w:r>
            <w:rPr>
              <w:rStyle w:val="19"/>
              <w:rFonts w:hint="eastAsia"/>
            </w:rPr>
            <w:t>拓宽节能投融资渠道</w:t>
          </w:r>
          <w:r>
            <w:tab/>
          </w:r>
          <w:r>
            <w:fldChar w:fldCharType="begin"/>
          </w:r>
          <w:r>
            <w:instrText xml:space="preserve"> PAGEREF _Toc106033037 \h </w:instrText>
          </w:r>
          <w:r>
            <w:fldChar w:fldCharType="separate"/>
          </w:r>
          <w:r>
            <w:t>42</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"_Toc106033038" </w:instrText>
          </w:r>
          <w:r>
            <w:fldChar w:fldCharType="separate"/>
          </w:r>
          <w:r>
            <w:rPr>
              <w:rStyle w:val="19"/>
              <w:rFonts w:hint="eastAsia"/>
            </w:rPr>
            <w:t>第七节</w:t>
          </w:r>
          <w:r>
            <w:rPr>
              <w:rStyle w:val="19"/>
            </w:rPr>
            <w:t xml:space="preserve">  </w:t>
          </w:r>
          <w:r>
            <w:rPr>
              <w:rStyle w:val="19"/>
              <w:rFonts w:hint="eastAsia"/>
            </w:rPr>
            <w:t>倡导全社会参与节能降耗</w:t>
          </w:r>
          <w:r>
            <w:tab/>
          </w:r>
          <w:r>
            <w:fldChar w:fldCharType="begin"/>
          </w:r>
          <w:r>
            <w:instrText xml:space="preserve"> PAGEREF _Toc106033038 \h </w:instrText>
          </w:r>
          <w:r>
            <w:fldChar w:fldCharType="separate"/>
          </w:r>
          <w:r>
            <w:t>43</w:t>
          </w:r>
          <w:r>
            <w:fldChar w:fldCharType="end"/>
          </w:r>
          <w:r>
            <w:fldChar w:fldCharType="end"/>
          </w:r>
        </w:p>
        <w:p>
          <w:pPr>
            <w:pStyle w:val="14"/>
            <w:tabs>
              <w:tab w:val="right" w:leader="dot" w:pos="8296"/>
            </w:tabs>
            <w:ind w:left="640" w:firstLine="560"/>
            <w:rPr>
              <w:rFonts w:asciiTheme="minorHAnsi" w:hAnsiTheme="minorHAnsi" w:eastAsiaTheme="minorEastAsia" w:cstheme="minorBidi"/>
              <w:sz w:val="21"/>
              <w:szCs w:val="22"/>
            </w:rPr>
          </w:pPr>
          <w:r>
            <w:fldChar w:fldCharType="begin"/>
          </w:r>
          <w:r>
            <w:instrText xml:space="preserve"> HYPERLINK \l "_Toc106033039" </w:instrText>
          </w:r>
          <w:r>
            <w:fldChar w:fldCharType="separate"/>
          </w:r>
          <w:r>
            <w:rPr>
              <w:rStyle w:val="19"/>
              <w:rFonts w:hint="eastAsia"/>
            </w:rPr>
            <w:t>第八节</w:t>
          </w:r>
          <w:r>
            <w:rPr>
              <w:rStyle w:val="19"/>
            </w:rPr>
            <w:t xml:space="preserve">  </w:t>
          </w:r>
          <w:r>
            <w:rPr>
              <w:rStyle w:val="19"/>
              <w:rFonts w:hint="eastAsia"/>
            </w:rPr>
            <w:t>加强评估调整</w:t>
          </w:r>
          <w:r>
            <w:tab/>
          </w:r>
          <w:r>
            <w:fldChar w:fldCharType="begin"/>
          </w:r>
          <w:r>
            <w:instrText xml:space="preserve"> PAGEREF _Toc106033039 \h </w:instrText>
          </w:r>
          <w:r>
            <w:fldChar w:fldCharType="separate"/>
          </w:r>
          <w:r>
            <w:t>43</w:t>
          </w:r>
          <w:r>
            <w:fldChar w:fldCharType="end"/>
          </w:r>
          <w:r>
            <w:fldChar w:fldCharType="end"/>
          </w:r>
        </w:p>
        <w:p>
          <w:pPr>
            <w:ind w:firstLine="640"/>
          </w:pPr>
          <w:r>
            <w:rPr>
              <w:rFonts w:eastAsia="黑体"/>
            </w:rPr>
            <w:fldChar w:fldCharType="end"/>
          </w:r>
        </w:p>
      </w:sdtContent>
    </w:sdt>
    <w:p>
      <w:pPr>
        <w:pStyle w:val="3"/>
        <w:rPr>
          <w:rFonts w:ascii="Times New Roman" w:hAnsi="Times New Roman"/>
          <w:color w:val="auto"/>
        </w:rPr>
        <w:sectPr>
          <w:footerReference r:id="rId9" w:type="default"/>
          <w:pgSz w:w="11906" w:h="16838"/>
          <w:pgMar w:top="1440" w:right="1800" w:bottom="1440" w:left="1800" w:header="851" w:footer="992" w:gutter="0"/>
          <w:pgNumType w:fmt="upperRoman" w:start="1"/>
          <w:cols w:space="425" w:num="1"/>
          <w:docGrid w:type="lines" w:linePitch="312" w:charSpace="0"/>
        </w:sectPr>
      </w:pPr>
    </w:p>
    <w:p>
      <w:pPr>
        <w:ind w:firstLine="640"/>
      </w:pPr>
      <w:r>
        <w:t>“十四五”时期，是我国“两个一百年”奋斗目标的历史交汇期，是开启全面建设社会主义现代化国家新征程的重要机遇期，是广东省实现“四个走在全国前列”、当好“两个重要窗口”的关键时期，也是我市</w:t>
      </w:r>
      <w:r>
        <w:rPr>
          <w:spacing w:val="9"/>
          <w:shd w:val="clear" w:color="auto" w:fill="FFFFFF"/>
        </w:rPr>
        <w:t>加快建立健全绿色低碳循环发展经济体系，推进经济社会发展全面绿色转型，助力实现碳达峰碳中和目标，</w:t>
      </w:r>
      <w:r>
        <w:t>奋力建设幸福和谐美丽河源的重要时期。为指导落实我市“十四五”时期节能降耗工作要求，制定本规划。</w:t>
      </w:r>
    </w:p>
    <w:p>
      <w:pPr>
        <w:pStyle w:val="3"/>
        <w:jc w:val="center"/>
        <w:rPr>
          <w:rFonts w:ascii="Times New Roman" w:hAnsi="Times New Roman"/>
          <w:b/>
          <w:bCs w:val="0"/>
          <w:color w:val="auto"/>
        </w:rPr>
      </w:pPr>
      <w:bookmarkStart w:id="0" w:name="_Toc106032981"/>
      <w:r>
        <w:rPr>
          <w:rFonts w:ascii="Times New Roman" w:hAnsi="Times New Roman"/>
          <w:bCs w:val="0"/>
          <w:color w:val="auto"/>
        </w:rPr>
        <w:t>第一章</w:t>
      </w:r>
      <w:r>
        <w:rPr>
          <w:rFonts w:hint="eastAsia" w:ascii="Times New Roman" w:hAnsi="Times New Roman"/>
          <w:bCs w:val="0"/>
          <w:color w:val="auto"/>
        </w:rPr>
        <w:t xml:space="preserve"> </w:t>
      </w:r>
      <w:r>
        <w:rPr>
          <w:rFonts w:ascii="Times New Roman" w:hAnsi="Times New Roman"/>
          <w:bCs w:val="0"/>
          <w:color w:val="auto"/>
        </w:rPr>
        <w:t xml:space="preserve"> 发展基础</w:t>
      </w:r>
      <w:bookmarkEnd w:id="0"/>
    </w:p>
    <w:p>
      <w:pPr>
        <w:ind w:firstLine="640"/>
        <w:rPr>
          <w:shd w:val="clear" w:color="auto" w:fill="FFFFFF"/>
        </w:rPr>
      </w:pPr>
      <w:r>
        <w:rPr>
          <w:shd w:val="clear" w:color="auto" w:fill="FFFFFF"/>
        </w:rPr>
        <w:t>“十三五”期间，在市委、市政府的正确领导下，河源市</w:t>
      </w:r>
      <w:r>
        <w:t>认真学习贯彻党的十九大和十九届历次全会精神，坚持以习近平新时</w:t>
      </w:r>
      <w:r>
        <w:rPr>
          <w:szCs w:val="32"/>
        </w:rPr>
        <w:t>代中国特色社会主义思想为指导，把节能降耗作为优化经济结构、推动绿色低碳循环发展、加快生态文明建设的重要抓手和突破口，积极推进控总量、调结构、提效率、推循环、强制度、惠民生等各项工作，节能工作取得了较好成效，超额完成了“十三五”节能目标，为推动河源经济高质量发展</w:t>
      </w:r>
      <w:r>
        <w:rPr>
          <w:shd w:val="clear" w:color="auto" w:fill="FFFFFF"/>
        </w:rPr>
        <w:t>打下了坚实基础。</w:t>
      </w:r>
    </w:p>
    <w:p>
      <w:pPr>
        <w:pStyle w:val="5"/>
        <w:ind w:firstLine="0" w:firstLineChars="0"/>
        <w:jc w:val="center"/>
        <w:rPr>
          <w:rFonts w:ascii="Times New Roman" w:hAnsi="Times New Roman" w:cs="Times New Roman"/>
        </w:rPr>
      </w:pPr>
      <w:bookmarkStart w:id="1" w:name="_Toc106032982"/>
      <w:r>
        <w:rPr>
          <w:rFonts w:hint="eastAsia" w:ascii="Times New Roman" w:hAnsi="Times New Roman" w:cs="Times New Roman"/>
        </w:rPr>
        <w:t xml:space="preserve">第一节 </w:t>
      </w:r>
      <w:r>
        <w:rPr>
          <w:rFonts w:ascii="Times New Roman" w:hAnsi="Times New Roman" w:cs="Times New Roman"/>
        </w:rPr>
        <w:t xml:space="preserve"> 主要成效</w:t>
      </w:r>
      <w:bookmarkEnd w:id="1"/>
    </w:p>
    <w:p>
      <w:pPr>
        <w:pStyle w:val="6"/>
        <w:ind w:firstLine="643"/>
        <w:rPr>
          <w:rFonts w:cs="Times New Roman"/>
        </w:rPr>
      </w:pPr>
      <w:bookmarkStart w:id="2" w:name="_Toc106032983"/>
      <w:r>
        <w:rPr>
          <w:rFonts w:cs="Times New Roman"/>
        </w:rPr>
        <w:t>1.节能目标顺利完成</w:t>
      </w:r>
      <w:bookmarkEnd w:id="2"/>
    </w:p>
    <w:p>
      <w:pPr>
        <w:spacing w:line="600" w:lineRule="exact"/>
        <w:ind w:firstLine="643"/>
        <w:rPr>
          <w:b/>
          <w:szCs w:val="32"/>
        </w:rPr>
      </w:pPr>
      <w:r>
        <w:rPr>
          <w:b/>
          <w:szCs w:val="32"/>
        </w:rPr>
        <w:t>（1）能耗强度降低目标超额完成。</w:t>
      </w:r>
    </w:p>
    <w:p>
      <w:pPr>
        <w:ind w:firstLine="640"/>
        <w:rPr>
          <w:szCs w:val="32"/>
        </w:rPr>
      </w:pPr>
      <w:r>
        <w:t>根据《广东省发展和改革委员会 广东省经济和信息化委员会 广东省环境保护厅关于印发&lt;广</w:t>
      </w:r>
      <w:r>
        <w:rPr>
          <w:szCs w:val="32"/>
        </w:rPr>
        <w:t>东省节能减排“十三五”规划&gt;的通知》（粤发改资环〔2017〕76号），“十三五”期间，河源市节能任务为单位GDP能耗下降16.0%，年均下降3.43%。2020年，全市单位GDP能耗为0.3623吨标准煤/万元（当年价），“十三五”期间全市单位GDP能耗实际下降率为16.02%，完成了省下达河源市的“十三五”能耗强度下降目标任务。</w:t>
      </w:r>
    </w:p>
    <w:p>
      <w:pPr>
        <w:ind w:firstLine="0" w:firstLineChars="0"/>
        <w:jc w:val="center"/>
      </w:pPr>
      <w:r>
        <w:rPr>
          <w:szCs w:val="32"/>
        </w:rPr>
        <w:drawing>
          <wp:inline distT="0" distB="0" distL="0" distR="0">
            <wp:extent cx="5274310" cy="245300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2453028"/>
                    </a:xfrm>
                    <a:prstGeom prst="rect">
                      <a:avLst/>
                    </a:prstGeom>
                    <a:noFill/>
                  </pic:spPr>
                </pic:pic>
              </a:graphicData>
            </a:graphic>
          </wp:inline>
        </w:drawing>
      </w:r>
    </w:p>
    <w:p>
      <w:pPr>
        <w:spacing w:line="560" w:lineRule="exact"/>
        <w:ind w:firstLine="641"/>
        <w:jc w:val="center"/>
        <w:rPr>
          <w:rFonts w:eastAsia="华文楷体"/>
          <w:b/>
          <w:szCs w:val="32"/>
        </w:rPr>
      </w:pPr>
      <w:r>
        <w:rPr>
          <w:rFonts w:eastAsia="华文楷体"/>
          <w:b/>
          <w:szCs w:val="32"/>
        </w:rPr>
        <w:t>图1-1  2015-2020年河源市单位GDP能耗降幅</w:t>
      </w:r>
    </w:p>
    <w:p>
      <w:pPr>
        <w:spacing w:before="156" w:beforeLines="50" w:line="600" w:lineRule="exact"/>
        <w:ind w:firstLine="643"/>
        <w:rPr>
          <w:b/>
          <w:szCs w:val="32"/>
        </w:rPr>
      </w:pPr>
      <w:r>
        <w:rPr>
          <w:b/>
          <w:szCs w:val="32"/>
        </w:rPr>
        <w:t>（2）能源消费总量控制目标超额完成。</w:t>
      </w:r>
    </w:p>
    <w:p>
      <w:pPr>
        <w:ind w:firstLine="640"/>
        <w:rPr>
          <w:szCs w:val="32"/>
        </w:rPr>
      </w:pPr>
      <w:r>
        <w:t>根据《广东省发改委关于印发&lt;广东省能源消费总量控制工作方案&gt;的通知》（粤发改能电〔2017〕95号）的要求，河源市“十三五”能源消费总量新增量目标为44万吨标准煤，年均增速2.4%。2020年，全市能源消费总量为</w:t>
      </w:r>
      <w:r>
        <w:rPr>
          <w:szCs w:val="32"/>
        </w:rPr>
        <w:t>399.27</w:t>
      </w:r>
      <w:r>
        <w:t>万吨标准煤，“十三五”期间</w:t>
      </w:r>
      <w:r>
        <w:rPr>
          <w:szCs w:val="32"/>
        </w:rPr>
        <w:t>新增能源消费量为</w:t>
      </w:r>
      <w:r>
        <w:t>32.36</w:t>
      </w:r>
      <w:r>
        <w:rPr>
          <w:szCs w:val="32"/>
        </w:rPr>
        <w:t>万吨标准煤，未超出“十三五”能耗增量控制进度目标。</w:t>
      </w:r>
    </w:p>
    <w:p>
      <w:pPr>
        <w:ind w:firstLine="640"/>
      </w:pPr>
      <w:r>
        <w:rPr>
          <w:szCs w:val="32"/>
        </w:rPr>
        <w:t>2020年，六大高耗能行业综合能源消费量为133.70万吨标准煤，占全市规模以上工业能耗的比例为81%，较2015年下降了2.5个百分点。煤炭消费得到有效</w:t>
      </w:r>
      <w:r>
        <w:t>控制，2020年规上工业煤炭消费量214.02万吨，较2015年减少9.11%。</w:t>
      </w:r>
    </w:p>
    <w:p>
      <w:pPr>
        <w:pStyle w:val="2"/>
        <w:ind w:firstLine="420"/>
        <w:rPr>
          <w:rFonts w:ascii="Times New Roman" w:hAnsi="Times New Roman"/>
        </w:rPr>
      </w:pPr>
    </w:p>
    <w:p>
      <w:pPr>
        <w:ind w:firstLine="0" w:firstLineChars="0"/>
        <w:jc w:val="center"/>
      </w:pPr>
      <w:r>
        <w:drawing>
          <wp:inline distT="0" distB="0" distL="0" distR="0">
            <wp:extent cx="4938395" cy="28835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38395" cy="2883535"/>
                    </a:xfrm>
                    <a:prstGeom prst="rect">
                      <a:avLst/>
                    </a:prstGeom>
                    <a:noFill/>
                  </pic:spPr>
                </pic:pic>
              </a:graphicData>
            </a:graphic>
          </wp:inline>
        </w:drawing>
      </w:r>
    </w:p>
    <w:p>
      <w:pPr>
        <w:spacing w:line="600" w:lineRule="exact"/>
        <w:ind w:firstLine="641"/>
        <w:jc w:val="center"/>
        <w:rPr>
          <w:rFonts w:eastAsia="华文楷体"/>
          <w:b/>
          <w:szCs w:val="32"/>
        </w:rPr>
      </w:pPr>
      <w:r>
        <w:rPr>
          <w:rFonts w:eastAsia="华文楷体"/>
          <w:b/>
          <w:szCs w:val="32"/>
        </w:rPr>
        <w:t>图1-2  “十三五”河源市能源消费总量及增长率</w:t>
      </w:r>
    </w:p>
    <w:p>
      <w:pPr>
        <w:numPr>
          <w:ilvl w:val="0"/>
          <w:numId w:val="2"/>
        </w:numPr>
        <w:spacing w:before="156" w:beforeLines="50"/>
        <w:ind w:firstLine="643"/>
      </w:pPr>
      <w:r>
        <w:rPr>
          <w:b/>
          <w:szCs w:val="32"/>
        </w:rPr>
        <w:t>能耗强度指标</w:t>
      </w:r>
      <w:r>
        <w:rPr>
          <w:b/>
          <w:bCs/>
        </w:rPr>
        <w:t>居北部生态发展区第一低位</w:t>
      </w:r>
    </w:p>
    <w:p>
      <w:pPr>
        <w:ind w:firstLine="640"/>
      </w:pPr>
      <w:r>
        <w:t>河源市通过大力推进产业结构优化调整，不断加快淘汰落后和过剩产能，节能降耗工作取得显著成效。2020年河源市单位GDP能耗为0.3623吨标准煤/万元（当年价），居北部生态发展区第一低位。</w:t>
      </w:r>
      <w:r>
        <w:br w:type="page"/>
      </w:r>
    </w:p>
    <w:p>
      <w:pPr>
        <w:ind w:firstLine="0" w:firstLineChars="0"/>
        <w:jc w:val="center"/>
      </w:pPr>
      <w:r>
        <w:t>表1-1   “十三五”北部生态发展区五地市能耗强度情况</w:t>
      </w:r>
    </w:p>
    <w:tbl>
      <w:tblPr>
        <w:tblStyle w:val="16"/>
        <w:tblW w:w="9147" w:type="dxa"/>
        <w:jc w:val="center"/>
        <w:tblInd w:w="0" w:type="dxa"/>
        <w:tblLayout w:type="fixed"/>
        <w:tblCellMar>
          <w:top w:w="0" w:type="dxa"/>
          <w:left w:w="108" w:type="dxa"/>
          <w:bottom w:w="0" w:type="dxa"/>
          <w:right w:w="108" w:type="dxa"/>
        </w:tblCellMar>
      </w:tblPr>
      <w:tblGrid>
        <w:gridCol w:w="821"/>
        <w:gridCol w:w="2144"/>
        <w:gridCol w:w="1381"/>
        <w:gridCol w:w="1968"/>
        <w:gridCol w:w="1070"/>
        <w:gridCol w:w="1763"/>
      </w:tblGrid>
      <w:tr>
        <w:tblPrEx>
          <w:tblLayout w:type="fixed"/>
          <w:tblCellMar>
            <w:top w:w="0" w:type="dxa"/>
            <w:left w:w="108" w:type="dxa"/>
            <w:bottom w:w="0" w:type="dxa"/>
            <w:right w:w="108" w:type="dxa"/>
          </w:tblCellMar>
        </w:tblPrEx>
        <w:trPr>
          <w:trHeight w:val="108" w:hRule="atLeast"/>
          <w:jc w:val="center"/>
        </w:trPr>
        <w:tc>
          <w:tcPr>
            <w:tcW w:w="82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
                <w:bCs/>
                <w:smallCaps/>
                <w:sz w:val="24"/>
              </w:rPr>
            </w:pPr>
            <w:r>
              <w:rPr>
                <w:rFonts w:eastAsia="宋体"/>
                <w:b/>
                <w:bCs/>
                <w:smallCaps/>
                <w:sz w:val="24"/>
              </w:rPr>
              <w:t>地市</w:t>
            </w:r>
          </w:p>
        </w:tc>
        <w:tc>
          <w:tcPr>
            <w:tcW w:w="214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eastAsia="宋体"/>
                <w:b/>
                <w:bCs/>
                <w:smallCaps/>
                <w:sz w:val="24"/>
              </w:rPr>
            </w:pPr>
            <w:r>
              <w:rPr>
                <w:rFonts w:eastAsia="宋体"/>
                <w:b/>
                <w:bCs/>
                <w:smallCaps/>
                <w:sz w:val="24"/>
              </w:rPr>
              <w:t>GDP总量</w:t>
            </w:r>
          </w:p>
          <w:p>
            <w:pPr>
              <w:spacing w:line="240" w:lineRule="auto"/>
              <w:ind w:firstLine="0" w:firstLineChars="0"/>
              <w:jc w:val="center"/>
              <w:rPr>
                <w:rFonts w:eastAsia="宋体"/>
                <w:b/>
                <w:bCs/>
                <w:smallCaps/>
                <w:sz w:val="24"/>
              </w:rPr>
            </w:pPr>
            <w:r>
              <w:rPr>
                <w:rFonts w:eastAsia="宋体"/>
                <w:b/>
                <w:bCs/>
                <w:smallCaps/>
                <w:sz w:val="24"/>
              </w:rPr>
              <w:t>（亿元，当年价）</w:t>
            </w:r>
          </w:p>
        </w:tc>
        <w:tc>
          <w:tcPr>
            <w:tcW w:w="3349"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eastAsia="宋体"/>
                <w:b/>
                <w:bCs/>
                <w:smallCaps/>
                <w:sz w:val="24"/>
              </w:rPr>
            </w:pPr>
            <w:r>
              <w:rPr>
                <w:rFonts w:eastAsia="宋体"/>
                <w:b/>
                <w:bCs/>
                <w:smallCaps/>
                <w:sz w:val="24"/>
              </w:rPr>
              <w:t>能源消费总量（万吨标准煤）</w:t>
            </w:r>
          </w:p>
        </w:tc>
        <w:tc>
          <w:tcPr>
            <w:tcW w:w="2833" w:type="dxa"/>
            <w:gridSpan w:val="2"/>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0" w:firstLineChars="0"/>
              <w:jc w:val="center"/>
              <w:rPr>
                <w:rFonts w:eastAsia="宋体"/>
                <w:b/>
                <w:bCs/>
                <w:smallCaps/>
                <w:sz w:val="24"/>
              </w:rPr>
            </w:pPr>
            <w:r>
              <w:rPr>
                <w:rFonts w:eastAsia="宋体"/>
                <w:b/>
                <w:bCs/>
                <w:smallCaps/>
                <w:sz w:val="24"/>
              </w:rPr>
              <w:t>单耗（吨标准煤/万元）</w:t>
            </w:r>
          </w:p>
        </w:tc>
      </w:tr>
      <w:tr>
        <w:tblPrEx>
          <w:tblLayout w:type="fixed"/>
          <w:tblCellMar>
            <w:top w:w="0" w:type="dxa"/>
            <w:left w:w="108" w:type="dxa"/>
            <w:bottom w:w="0" w:type="dxa"/>
            <w:right w:w="108" w:type="dxa"/>
          </w:tblCellMar>
        </w:tblPrEx>
        <w:trPr>
          <w:trHeight w:val="108" w:hRule="atLeast"/>
          <w:jc w:val="center"/>
        </w:trPr>
        <w:tc>
          <w:tcPr>
            <w:tcW w:w="82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eastAsia="宋体"/>
                <w:b/>
                <w:bCs/>
                <w:smallCaps/>
                <w:sz w:val="24"/>
              </w:rPr>
            </w:pPr>
          </w:p>
        </w:tc>
        <w:tc>
          <w:tcPr>
            <w:tcW w:w="2144"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
                <w:bCs/>
                <w:smallCaps/>
                <w:sz w:val="24"/>
              </w:rPr>
            </w:pPr>
            <w:r>
              <w:rPr>
                <w:rFonts w:eastAsia="宋体"/>
                <w:b/>
                <w:bCs/>
                <w:smallCaps/>
                <w:sz w:val="24"/>
              </w:rPr>
              <w:t>2020年</w:t>
            </w:r>
          </w:p>
        </w:tc>
        <w:tc>
          <w:tcPr>
            <w:tcW w:w="13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
                <w:bCs/>
                <w:smallCaps/>
                <w:sz w:val="24"/>
              </w:rPr>
            </w:pPr>
            <w:r>
              <w:rPr>
                <w:rFonts w:eastAsia="宋体"/>
                <w:b/>
                <w:bCs/>
                <w:smallCaps/>
                <w:sz w:val="24"/>
              </w:rPr>
              <w:t>2020年</w:t>
            </w:r>
          </w:p>
        </w:tc>
        <w:tc>
          <w:tcPr>
            <w:tcW w:w="196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
                <w:bCs/>
                <w:smallCaps/>
                <w:sz w:val="24"/>
              </w:rPr>
            </w:pPr>
            <w:r>
              <w:rPr>
                <w:rFonts w:eastAsia="宋体"/>
                <w:b/>
                <w:bCs/>
                <w:smallCaps/>
                <w:sz w:val="24"/>
              </w:rPr>
              <w:t>十三五增量</w:t>
            </w:r>
          </w:p>
        </w:tc>
        <w:tc>
          <w:tcPr>
            <w:tcW w:w="107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
                <w:bCs/>
                <w:smallCaps/>
                <w:sz w:val="24"/>
              </w:rPr>
            </w:pPr>
            <w:r>
              <w:rPr>
                <w:rFonts w:eastAsia="宋体"/>
                <w:b/>
                <w:bCs/>
                <w:smallCaps/>
                <w:sz w:val="24"/>
              </w:rPr>
              <w:t>2020年</w:t>
            </w:r>
          </w:p>
        </w:tc>
        <w:tc>
          <w:tcPr>
            <w:tcW w:w="176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
                <w:bCs/>
                <w:smallCaps/>
                <w:sz w:val="24"/>
              </w:rPr>
            </w:pPr>
            <w:r>
              <w:rPr>
                <w:rFonts w:eastAsia="宋体"/>
                <w:b/>
                <w:bCs/>
                <w:smallCaps/>
                <w:sz w:val="24"/>
              </w:rPr>
              <w:t>十三五增量%</w:t>
            </w:r>
          </w:p>
        </w:tc>
      </w:tr>
      <w:tr>
        <w:tblPrEx>
          <w:tblLayout w:type="fixed"/>
          <w:tblCellMar>
            <w:top w:w="0" w:type="dxa"/>
            <w:left w:w="108" w:type="dxa"/>
            <w:bottom w:w="0" w:type="dxa"/>
            <w:right w:w="108" w:type="dxa"/>
          </w:tblCellMar>
        </w:tblPrEx>
        <w:trPr>
          <w:trHeight w:val="114" w:hRule="atLeast"/>
          <w:jc w:val="center"/>
        </w:trPr>
        <w:tc>
          <w:tcPr>
            <w:tcW w:w="8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河源</w:t>
            </w:r>
          </w:p>
        </w:tc>
        <w:tc>
          <w:tcPr>
            <w:tcW w:w="2144" w:type="dxa"/>
            <w:tcBorders>
              <w:top w:val="nil"/>
              <w:left w:val="nil"/>
              <w:bottom w:val="single" w:color="auto" w:sz="4" w:space="0"/>
              <w:right w:val="single" w:color="auto" w:sz="4" w:space="0"/>
            </w:tcBorders>
            <w:shd w:val="clear" w:color="auto" w:fill="auto"/>
            <w:vAlign w:val="center"/>
          </w:tcPr>
          <w:p>
            <w:pPr>
              <w:ind w:firstLine="0" w:firstLineChars="0"/>
              <w:jc w:val="center"/>
              <w:rPr>
                <w:rFonts w:eastAsia="宋体"/>
                <w:bCs/>
                <w:smallCaps/>
                <w:sz w:val="24"/>
              </w:rPr>
            </w:pPr>
            <w:r>
              <w:rPr>
                <w:rFonts w:eastAsia="宋体"/>
                <w:bCs/>
                <w:smallCaps/>
                <w:sz w:val="24"/>
              </w:rPr>
              <w:t>1102.00</w:t>
            </w:r>
          </w:p>
        </w:tc>
        <w:tc>
          <w:tcPr>
            <w:tcW w:w="13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399.27</w:t>
            </w:r>
          </w:p>
        </w:tc>
        <w:tc>
          <w:tcPr>
            <w:tcW w:w="196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32.36</w:t>
            </w:r>
          </w:p>
        </w:tc>
        <w:tc>
          <w:tcPr>
            <w:tcW w:w="107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0.3623</w:t>
            </w:r>
          </w:p>
        </w:tc>
        <w:tc>
          <w:tcPr>
            <w:tcW w:w="176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-16.02</w:t>
            </w:r>
          </w:p>
        </w:tc>
      </w:tr>
      <w:tr>
        <w:tblPrEx>
          <w:tblLayout w:type="fixed"/>
          <w:tblCellMar>
            <w:top w:w="0" w:type="dxa"/>
            <w:left w:w="108" w:type="dxa"/>
            <w:bottom w:w="0" w:type="dxa"/>
            <w:right w:w="108" w:type="dxa"/>
          </w:tblCellMar>
        </w:tblPrEx>
        <w:trPr>
          <w:trHeight w:val="114" w:hRule="atLeast"/>
          <w:jc w:val="center"/>
        </w:trPr>
        <w:tc>
          <w:tcPr>
            <w:tcW w:w="821" w:type="dxa"/>
            <w:tcBorders>
              <w:top w:val="nil"/>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梅州</w:t>
            </w:r>
          </w:p>
        </w:tc>
        <w:tc>
          <w:tcPr>
            <w:tcW w:w="2144" w:type="dxa"/>
            <w:tcBorders>
              <w:top w:val="nil"/>
              <w:left w:val="nil"/>
              <w:bottom w:val="single" w:color="auto" w:sz="4" w:space="0"/>
              <w:right w:val="single" w:color="auto" w:sz="4" w:space="0"/>
            </w:tcBorders>
            <w:shd w:val="clear" w:color="auto" w:fill="auto"/>
            <w:vAlign w:val="center"/>
          </w:tcPr>
          <w:p>
            <w:pPr>
              <w:ind w:firstLine="0" w:firstLineChars="0"/>
              <w:jc w:val="center"/>
              <w:rPr>
                <w:rFonts w:eastAsia="宋体"/>
                <w:bCs/>
                <w:smallCaps/>
                <w:sz w:val="24"/>
              </w:rPr>
            </w:pPr>
            <w:r>
              <w:rPr>
                <w:rFonts w:eastAsia="宋体"/>
                <w:bCs/>
                <w:smallCaps/>
                <w:sz w:val="24"/>
              </w:rPr>
              <w:t>1002.18</w:t>
            </w:r>
          </w:p>
        </w:tc>
        <w:tc>
          <w:tcPr>
            <w:tcW w:w="1381"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559.76</w:t>
            </w:r>
          </w:p>
        </w:tc>
        <w:tc>
          <w:tcPr>
            <w:tcW w:w="1968"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24.49</w:t>
            </w:r>
          </w:p>
        </w:tc>
        <w:tc>
          <w:tcPr>
            <w:tcW w:w="1070"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0.5585</w:t>
            </w:r>
          </w:p>
        </w:tc>
        <w:tc>
          <w:tcPr>
            <w:tcW w:w="1763" w:type="dxa"/>
            <w:tcBorders>
              <w:top w:val="nil"/>
              <w:left w:val="nil"/>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-19.95</w:t>
            </w:r>
          </w:p>
        </w:tc>
      </w:tr>
      <w:tr>
        <w:tblPrEx>
          <w:tblLayout w:type="fixed"/>
          <w:tblCellMar>
            <w:top w:w="0" w:type="dxa"/>
            <w:left w:w="108" w:type="dxa"/>
            <w:bottom w:w="0" w:type="dxa"/>
            <w:right w:w="108" w:type="dxa"/>
          </w:tblCellMar>
        </w:tblPrEx>
        <w:trPr>
          <w:trHeight w:val="114"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清远</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firstLine="0" w:firstLineChars="0"/>
              <w:jc w:val="center"/>
              <w:rPr>
                <w:rFonts w:eastAsia="宋体"/>
                <w:bCs/>
                <w:smallCaps/>
                <w:sz w:val="24"/>
              </w:rPr>
            </w:pPr>
            <w:r>
              <w:rPr>
                <w:rFonts w:eastAsia="宋体"/>
                <w:bCs/>
                <w:smallCaps/>
                <w:sz w:val="24"/>
              </w:rPr>
              <w:t>1777.15</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ind w:firstLine="0" w:firstLineChars="0"/>
              <w:jc w:val="center"/>
              <w:rPr>
                <w:rFonts w:eastAsia="宋体"/>
                <w:bCs/>
                <w:smallCaps/>
                <w:sz w:val="24"/>
              </w:rPr>
            </w:pPr>
            <w:r>
              <w:rPr>
                <w:rFonts w:eastAsia="宋体"/>
                <w:bCs/>
                <w:smallCaps/>
                <w:sz w:val="24"/>
              </w:rPr>
              <w:t xml:space="preserve">1393.11 </w:t>
            </w:r>
          </w:p>
        </w:tc>
        <w:tc>
          <w:tcPr>
            <w:tcW w:w="19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ind w:firstLine="0" w:firstLineChars="0"/>
              <w:jc w:val="center"/>
              <w:rPr>
                <w:rFonts w:eastAsia="宋体"/>
                <w:bCs/>
                <w:smallCaps/>
                <w:sz w:val="24"/>
              </w:rPr>
            </w:pPr>
            <w:r>
              <w:rPr>
                <w:rFonts w:eastAsia="宋体"/>
                <w:bCs/>
                <w:smallCaps/>
                <w:sz w:val="24"/>
              </w:rPr>
              <w:t xml:space="preserve">196.68 </w:t>
            </w:r>
          </w:p>
        </w:tc>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ind w:firstLine="0" w:firstLineChars="0"/>
              <w:jc w:val="center"/>
              <w:rPr>
                <w:rFonts w:eastAsia="宋体"/>
                <w:bCs/>
                <w:smallCaps/>
                <w:sz w:val="24"/>
              </w:rPr>
            </w:pPr>
            <w:r>
              <w:rPr>
                <w:rFonts w:eastAsia="宋体"/>
                <w:bCs/>
                <w:smallCaps/>
                <w:sz w:val="24"/>
              </w:rPr>
              <w:t>0.7839</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ind w:firstLine="0" w:firstLineChars="0"/>
              <w:jc w:val="center"/>
              <w:rPr>
                <w:rFonts w:eastAsia="宋体"/>
                <w:bCs/>
                <w:smallCaps/>
                <w:sz w:val="24"/>
              </w:rPr>
            </w:pPr>
            <w:r>
              <w:rPr>
                <w:rFonts w:eastAsia="宋体"/>
                <w:bCs/>
                <w:smallCaps/>
                <w:sz w:val="24"/>
              </w:rPr>
              <w:t xml:space="preserve">-10.32 </w:t>
            </w:r>
          </w:p>
        </w:tc>
      </w:tr>
      <w:tr>
        <w:tblPrEx>
          <w:tblLayout w:type="fixed"/>
          <w:tblCellMar>
            <w:top w:w="0" w:type="dxa"/>
            <w:left w:w="108" w:type="dxa"/>
            <w:bottom w:w="0" w:type="dxa"/>
            <w:right w:w="108" w:type="dxa"/>
          </w:tblCellMar>
        </w:tblPrEx>
        <w:trPr>
          <w:trHeight w:val="114"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韶关</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jc w:val="center"/>
              <w:rPr>
                <w:rFonts w:eastAsia="宋体"/>
                <w:bCs/>
                <w:smallCaps/>
                <w:sz w:val="24"/>
              </w:rPr>
            </w:pPr>
            <w:r>
              <w:rPr>
                <w:rFonts w:eastAsia="宋体"/>
                <w:bCs/>
                <w:smallCaps/>
                <w:sz w:val="24"/>
              </w:rPr>
              <w:t>1353.48</w:t>
            </w:r>
          </w:p>
        </w:tc>
        <w:tc>
          <w:tcPr>
            <w:tcW w:w="138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 xml:space="preserve">1278.00 </w:t>
            </w:r>
          </w:p>
        </w:tc>
        <w:tc>
          <w:tcPr>
            <w:tcW w:w="1968"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 xml:space="preserve">266.51 </w:t>
            </w:r>
          </w:p>
        </w:tc>
        <w:tc>
          <w:tcPr>
            <w:tcW w:w="107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0.9442</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jc w:val="center"/>
              <w:rPr>
                <w:rFonts w:eastAsia="宋体"/>
                <w:bCs/>
                <w:smallCaps/>
                <w:sz w:val="24"/>
              </w:rPr>
            </w:pPr>
            <w:r>
              <w:rPr>
                <w:rFonts w:eastAsia="宋体"/>
                <w:bCs/>
                <w:smallCaps/>
                <w:sz w:val="24"/>
              </w:rPr>
              <w:t>-1.44</w:t>
            </w:r>
          </w:p>
        </w:tc>
      </w:tr>
    </w:tbl>
    <w:p>
      <w:pPr>
        <w:pStyle w:val="6"/>
        <w:ind w:firstLine="643"/>
        <w:rPr>
          <w:rFonts w:cs="Times New Roman"/>
        </w:rPr>
      </w:pPr>
      <w:bookmarkStart w:id="3" w:name="_Toc106032984"/>
      <w:r>
        <w:rPr>
          <w:rFonts w:cs="Times New Roman"/>
        </w:rPr>
        <w:t>2.能源结构更加清洁低碳</w:t>
      </w:r>
      <w:bookmarkEnd w:id="3"/>
    </w:p>
    <w:p>
      <w:pPr>
        <w:ind w:firstLine="643"/>
        <w:rPr>
          <w:b/>
        </w:rPr>
      </w:pPr>
      <w:r>
        <w:rPr>
          <w:b/>
        </w:rPr>
        <w:t>（1）能源清洁化水平进一步提高。</w:t>
      </w:r>
      <w:bookmarkStart w:id="4" w:name="_Hlk67059890"/>
    </w:p>
    <w:p>
      <w:pPr>
        <w:ind w:firstLine="640"/>
      </w:pPr>
      <w:r>
        <w:t>一次能源消费结构</w:t>
      </w:r>
      <w:bookmarkEnd w:id="4"/>
      <w:r>
        <w:t>中</w:t>
      </w:r>
      <w:r>
        <w:rPr>
          <w:szCs w:val="32"/>
        </w:rPr>
        <w:t>，</w:t>
      </w:r>
      <w:bookmarkStart w:id="5" w:name="_Hlk67060113"/>
      <w:r>
        <w:rPr>
          <w:szCs w:val="32"/>
        </w:rPr>
        <w:t>煤炭、石油、天然气、一次电力及其他能源</w:t>
      </w:r>
      <w:bookmarkEnd w:id="5"/>
      <w:r>
        <w:rPr>
          <w:szCs w:val="32"/>
        </w:rPr>
        <w:t>占比由2015年的48.3：25.8：0.7：25.2调整为2020年的39.9：18.0：1.9：40.2，煤炭消费占比下降8.4个百分点、石油消费占比下降7.8个百分点、天然气消费占比上升1.22个百分点、一次电力及其他能源消费占比上升15个百分点。可再生能源占能源消费总量的比重由2015年的37.0%调整为2020年的42.7%，能源消费结构进一步向清洁低碳化转变。全面完成燃煤电厂超低排放改造，加快推进工业园区高污染燃料锅炉淘汰和清洁能源改造升级。能源绿色发展显著推动空气质量改善，二氧化硫、氮氧</w:t>
      </w:r>
      <w:r>
        <w:t>化物和烟尘排放量大幅下降，为坚决打好污染防治攻坚战、打赢蓝天保卫战提供了重要支撑。</w:t>
      </w:r>
    </w:p>
    <w:p>
      <w:pPr>
        <w:ind w:firstLine="643"/>
      </w:pPr>
      <w:r>
        <w:rPr>
          <w:b/>
        </w:rPr>
        <w:t>（2）可再生能源装机占比近60%。</w:t>
      </w:r>
    </w:p>
    <w:p>
      <w:pPr>
        <w:ind w:firstLine="640"/>
      </w:pPr>
      <w:r>
        <w:t>截至2020年底，全市电力装机容量达296.44万千瓦，其中，煤电120万千瓦，水电12</w:t>
      </w:r>
      <w:r>
        <w:rPr>
          <w:szCs w:val="32"/>
        </w:rPr>
        <w:t>6.24万千瓦（省调机组新丰江和枫树坝共55.50万千瓦，地调机组70.74万千瓦)，风电9.90万千瓦，光伏发电38.13万千瓦，生物质发电及其他2.17万千瓦。全市电力装机容量较2015年新增45.01万千瓦，增长17.90%，新增电源装机均为光伏发电、风电、水电等可再生能源。可再生能源发电装机176.44万千瓦，装机占比近60%，其中光伏装机38.13万千瓦，装机增长近18倍。全市逐步形成以水电、火电为基础，风</w:t>
      </w:r>
      <w:r>
        <w:t>、光等可再生能源全面发展的多元化电力供应体系。</w:t>
      </w:r>
    </w:p>
    <w:p>
      <w:pPr>
        <w:ind w:firstLine="0" w:firstLineChars="0"/>
        <w:jc w:val="center"/>
      </w:pPr>
      <w:r>
        <w:t>表1-2  2020年河源市电力装机构成</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939"/>
        <w:gridCol w:w="2275"/>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4" w:type="dxa"/>
            <w:vAlign w:val="center"/>
          </w:tcPr>
          <w:p>
            <w:pPr>
              <w:ind w:firstLine="0" w:firstLineChars="0"/>
              <w:jc w:val="center"/>
              <w:rPr>
                <w:rFonts w:eastAsia="宋体"/>
                <w:bCs/>
                <w:smallCaps/>
                <w:sz w:val="24"/>
              </w:rPr>
            </w:pPr>
            <w:r>
              <w:rPr>
                <w:rFonts w:eastAsia="宋体"/>
                <w:b/>
                <w:smallCaps/>
                <w:sz w:val="24"/>
              </w:rPr>
              <w:t>序号</w:t>
            </w:r>
          </w:p>
        </w:tc>
        <w:tc>
          <w:tcPr>
            <w:tcW w:w="3939" w:type="dxa"/>
            <w:vAlign w:val="center"/>
          </w:tcPr>
          <w:p>
            <w:pPr>
              <w:ind w:firstLine="0" w:firstLineChars="0"/>
              <w:jc w:val="center"/>
              <w:rPr>
                <w:rFonts w:eastAsia="宋体"/>
                <w:bCs/>
                <w:smallCaps/>
                <w:sz w:val="24"/>
              </w:rPr>
            </w:pPr>
            <w:r>
              <w:rPr>
                <w:rFonts w:eastAsia="宋体"/>
                <w:b/>
                <w:smallCaps/>
                <w:sz w:val="24"/>
              </w:rPr>
              <w:t>项目名称</w:t>
            </w:r>
          </w:p>
        </w:tc>
        <w:tc>
          <w:tcPr>
            <w:tcW w:w="2275" w:type="dxa"/>
            <w:vAlign w:val="center"/>
          </w:tcPr>
          <w:p>
            <w:pPr>
              <w:ind w:firstLine="0" w:firstLineChars="0"/>
              <w:jc w:val="center"/>
              <w:rPr>
                <w:rFonts w:eastAsia="宋体"/>
                <w:bCs/>
                <w:smallCaps/>
                <w:sz w:val="24"/>
              </w:rPr>
            </w:pPr>
            <w:r>
              <w:rPr>
                <w:rFonts w:eastAsia="宋体"/>
                <w:b/>
                <w:smallCaps/>
                <w:sz w:val="24"/>
              </w:rPr>
              <w:t>装机容量</w:t>
            </w:r>
          </w:p>
        </w:tc>
        <w:tc>
          <w:tcPr>
            <w:tcW w:w="1464" w:type="dxa"/>
          </w:tcPr>
          <w:p>
            <w:pPr>
              <w:ind w:firstLine="0" w:firstLineChars="0"/>
              <w:jc w:val="center"/>
              <w:rPr>
                <w:rFonts w:eastAsia="宋体"/>
                <w:b/>
                <w:smallCaps/>
                <w:sz w:val="24"/>
              </w:rPr>
            </w:pPr>
            <w:r>
              <w:rPr>
                <w:rFonts w:eastAsia="宋体"/>
                <w:b/>
                <w:smallCaps/>
                <w:sz w:val="24"/>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b/>
                <w:smallCaps/>
                <w:sz w:val="24"/>
              </w:rPr>
            </w:pPr>
          </w:p>
        </w:tc>
        <w:tc>
          <w:tcPr>
            <w:tcW w:w="3939" w:type="dxa"/>
            <w:vAlign w:val="center"/>
          </w:tcPr>
          <w:p>
            <w:pPr>
              <w:ind w:firstLine="0" w:firstLineChars="0"/>
              <w:rPr>
                <w:rFonts w:eastAsia="宋体"/>
                <w:smallCaps/>
                <w:sz w:val="24"/>
              </w:rPr>
            </w:pPr>
            <w:r>
              <w:rPr>
                <w:rFonts w:eastAsia="宋体"/>
                <w:b/>
                <w:smallCaps/>
                <w:sz w:val="24"/>
              </w:rPr>
              <w:t>合计</w:t>
            </w:r>
          </w:p>
        </w:tc>
        <w:tc>
          <w:tcPr>
            <w:tcW w:w="2275" w:type="dxa"/>
            <w:vAlign w:val="center"/>
          </w:tcPr>
          <w:p>
            <w:pPr>
              <w:ind w:firstLine="0" w:firstLineChars="0"/>
              <w:jc w:val="center"/>
              <w:rPr>
                <w:rFonts w:eastAsia="宋体"/>
                <w:b/>
                <w:smallCaps/>
                <w:sz w:val="24"/>
              </w:rPr>
            </w:pPr>
            <w:r>
              <w:rPr>
                <w:rFonts w:eastAsia="宋体"/>
                <w:b/>
                <w:smallCaps/>
                <w:sz w:val="24"/>
              </w:rPr>
              <w:t>296.44万千瓦</w:t>
            </w:r>
          </w:p>
        </w:tc>
        <w:tc>
          <w:tcPr>
            <w:tcW w:w="1464" w:type="dxa"/>
          </w:tcPr>
          <w:p>
            <w:pPr>
              <w:ind w:firstLine="0" w:firstLineChars="0"/>
              <w:jc w:val="center"/>
              <w:rPr>
                <w:rFonts w:eastAsia="宋体"/>
                <w:b/>
                <w:smallCaps/>
                <w:sz w:val="24"/>
              </w:rPr>
            </w:pPr>
            <w:r>
              <w:rPr>
                <w:rFonts w:eastAsia="宋体"/>
                <w:b/>
                <w:smallCaps/>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b/>
                <w:smallCaps/>
                <w:sz w:val="24"/>
              </w:rPr>
            </w:pPr>
            <w:r>
              <w:rPr>
                <w:rFonts w:eastAsia="宋体"/>
                <w:b/>
                <w:smallCaps/>
                <w:sz w:val="24"/>
              </w:rPr>
              <w:t>一</w:t>
            </w:r>
          </w:p>
        </w:tc>
        <w:tc>
          <w:tcPr>
            <w:tcW w:w="3939" w:type="dxa"/>
            <w:vAlign w:val="center"/>
          </w:tcPr>
          <w:p>
            <w:pPr>
              <w:ind w:firstLine="0" w:firstLineChars="0"/>
              <w:rPr>
                <w:rFonts w:eastAsia="宋体"/>
                <w:b/>
                <w:smallCaps/>
                <w:sz w:val="24"/>
              </w:rPr>
            </w:pPr>
            <w:r>
              <w:rPr>
                <w:rFonts w:eastAsia="宋体"/>
                <w:b/>
                <w:smallCaps/>
                <w:sz w:val="24"/>
              </w:rPr>
              <w:t>煤电</w:t>
            </w:r>
          </w:p>
        </w:tc>
        <w:tc>
          <w:tcPr>
            <w:tcW w:w="2275" w:type="dxa"/>
            <w:vAlign w:val="center"/>
          </w:tcPr>
          <w:p>
            <w:pPr>
              <w:ind w:firstLine="0" w:firstLineChars="0"/>
              <w:jc w:val="center"/>
              <w:rPr>
                <w:rFonts w:eastAsia="宋体"/>
                <w:b/>
                <w:smallCaps/>
                <w:sz w:val="24"/>
              </w:rPr>
            </w:pPr>
            <w:r>
              <w:rPr>
                <w:rFonts w:eastAsia="宋体"/>
                <w:b/>
                <w:smallCaps/>
                <w:sz w:val="24"/>
              </w:rPr>
              <w:t>120万千瓦</w:t>
            </w:r>
          </w:p>
        </w:tc>
        <w:tc>
          <w:tcPr>
            <w:tcW w:w="1464" w:type="dxa"/>
          </w:tcPr>
          <w:p>
            <w:pPr>
              <w:ind w:firstLine="0" w:firstLineChars="0"/>
              <w:jc w:val="center"/>
              <w:rPr>
                <w:rFonts w:eastAsia="宋体"/>
                <w:b/>
                <w:smallCaps/>
                <w:sz w:val="24"/>
              </w:rPr>
            </w:pPr>
            <w:r>
              <w:rPr>
                <w:rFonts w:eastAsia="宋体"/>
                <w:b/>
                <w:smallCaps/>
                <w:sz w:val="24"/>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b/>
                <w:smallCaps/>
                <w:sz w:val="24"/>
              </w:rPr>
            </w:pPr>
            <w:r>
              <w:rPr>
                <w:rFonts w:eastAsia="宋体"/>
                <w:smallCaps/>
                <w:sz w:val="24"/>
              </w:rPr>
              <w:t>1</w:t>
            </w:r>
          </w:p>
        </w:tc>
        <w:tc>
          <w:tcPr>
            <w:tcW w:w="3939" w:type="dxa"/>
            <w:vAlign w:val="center"/>
          </w:tcPr>
          <w:p>
            <w:pPr>
              <w:ind w:firstLine="0" w:firstLineChars="0"/>
              <w:rPr>
                <w:rFonts w:eastAsia="宋体"/>
                <w:b/>
                <w:smallCaps/>
                <w:sz w:val="24"/>
              </w:rPr>
            </w:pPr>
            <w:r>
              <w:rPr>
                <w:rFonts w:eastAsia="宋体"/>
                <w:smallCaps/>
                <w:sz w:val="24"/>
              </w:rPr>
              <w:t>河源电厂</w:t>
            </w:r>
          </w:p>
        </w:tc>
        <w:tc>
          <w:tcPr>
            <w:tcW w:w="2275" w:type="dxa"/>
            <w:vAlign w:val="center"/>
          </w:tcPr>
          <w:p>
            <w:pPr>
              <w:ind w:firstLine="0" w:firstLineChars="0"/>
              <w:jc w:val="center"/>
              <w:rPr>
                <w:rFonts w:eastAsia="宋体"/>
                <w:b/>
                <w:smallCaps/>
                <w:sz w:val="24"/>
              </w:rPr>
            </w:pPr>
            <w:r>
              <w:rPr>
                <w:rFonts w:eastAsia="宋体"/>
                <w:bCs/>
                <w:smallCaps/>
                <w:sz w:val="24"/>
              </w:rPr>
              <w:t>2×60万千瓦</w:t>
            </w:r>
          </w:p>
        </w:tc>
        <w:tc>
          <w:tcPr>
            <w:tcW w:w="1464" w:type="dxa"/>
          </w:tcPr>
          <w:p>
            <w:pPr>
              <w:ind w:firstLine="0" w:firstLineChars="0"/>
              <w:jc w:val="center"/>
              <w:rPr>
                <w:rFonts w:eastAsia="宋体"/>
                <w:smallCaps/>
                <w:sz w:val="24"/>
              </w:rPr>
            </w:pPr>
            <w:r>
              <w:rPr>
                <w:rFonts w:eastAsia="宋体"/>
                <w:bCs/>
                <w:smallCaps/>
                <w:sz w:val="24"/>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smallCaps/>
                <w:sz w:val="24"/>
              </w:rPr>
            </w:pPr>
            <w:r>
              <w:rPr>
                <w:rFonts w:eastAsia="宋体"/>
                <w:b/>
                <w:smallCaps/>
                <w:sz w:val="24"/>
              </w:rPr>
              <w:t>二</w:t>
            </w:r>
          </w:p>
        </w:tc>
        <w:tc>
          <w:tcPr>
            <w:tcW w:w="3939" w:type="dxa"/>
            <w:vAlign w:val="center"/>
          </w:tcPr>
          <w:p>
            <w:pPr>
              <w:ind w:firstLine="0" w:firstLineChars="0"/>
              <w:rPr>
                <w:rFonts w:eastAsia="宋体"/>
                <w:smallCaps/>
                <w:sz w:val="24"/>
              </w:rPr>
            </w:pPr>
            <w:r>
              <w:rPr>
                <w:rFonts w:eastAsia="宋体"/>
                <w:b/>
                <w:smallCaps/>
                <w:sz w:val="24"/>
              </w:rPr>
              <w:t>水电</w:t>
            </w:r>
          </w:p>
        </w:tc>
        <w:tc>
          <w:tcPr>
            <w:tcW w:w="2275" w:type="dxa"/>
            <w:vAlign w:val="center"/>
          </w:tcPr>
          <w:p>
            <w:pPr>
              <w:ind w:firstLine="0" w:firstLineChars="0"/>
              <w:jc w:val="center"/>
              <w:rPr>
                <w:rFonts w:eastAsia="宋体"/>
                <w:b/>
                <w:smallCaps/>
                <w:sz w:val="24"/>
              </w:rPr>
            </w:pPr>
            <w:r>
              <w:rPr>
                <w:rFonts w:eastAsia="宋体"/>
                <w:b/>
                <w:smallCaps/>
                <w:sz w:val="24"/>
              </w:rPr>
              <w:t>126.24万千瓦</w:t>
            </w:r>
          </w:p>
        </w:tc>
        <w:tc>
          <w:tcPr>
            <w:tcW w:w="1464" w:type="dxa"/>
            <w:shd w:val="clear" w:color="auto" w:fill="auto"/>
            <w:vAlign w:val="center"/>
          </w:tcPr>
          <w:p>
            <w:pPr>
              <w:ind w:firstLine="0" w:firstLineChars="0"/>
              <w:jc w:val="center"/>
              <w:rPr>
                <w:rFonts w:eastAsia="宋体"/>
                <w:b/>
                <w:smallCaps/>
                <w:sz w:val="24"/>
              </w:rPr>
            </w:pPr>
            <w:r>
              <w:rPr>
                <w:rFonts w:eastAsia="宋体"/>
                <w:b/>
                <w:smallCaps/>
                <w:sz w:val="24"/>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smallCaps/>
                <w:sz w:val="24"/>
              </w:rPr>
            </w:pPr>
            <w:r>
              <w:rPr>
                <w:rFonts w:eastAsia="宋体"/>
                <w:bCs/>
                <w:smallCaps/>
                <w:sz w:val="24"/>
              </w:rPr>
              <w:t>1</w:t>
            </w:r>
          </w:p>
        </w:tc>
        <w:tc>
          <w:tcPr>
            <w:tcW w:w="3939" w:type="dxa"/>
            <w:vAlign w:val="center"/>
          </w:tcPr>
          <w:p>
            <w:pPr>
              <w:ind w:firstLine="0" w:firstLineChars="0"/>
              <w:rPr>
                <w:rFonts w:eastAsia="宋体"/>
                <w:smallCaps/>
                <w:sz w:val="24"/>
              </w:rPr>
            </w:pPr>
            <w:r>
              <w:rPr>
                <w:rFonts w:eastAsia="宋体"/>
                <w:smallCaps/>
                <w:sz w:val="24"/>
              </w:rPr>
              <w:t>新丰江水电站</w:t>
            </w:r>
          </w:p>
        </w:tc>
        <w:tc>
          <w:tcPr>
            <w:tcW w:w="2275" w:type="dxa"/>
            <w:vAlign w:val="center"/>
          </w:tcPr>
          <w:p>
            <w:pPr>
              <w:ind w:firstLine="0" w:firstLineChars="0"/>
              <w:jc w:val="center"/>
              <w:rPr>
                <w:rFonts w:eastAsia="宋体"/>
                <w:smallCaps/>
                <w:sz w:val="24"/>
              </w:rPr>
            </w:pPr>
            <w:r>
              <w:rPr>
                <w:rFonts w:eastAsia="宋体"/>
                <w:smallCaps/>
                <w:sz w:val="24"/>
              </w:rPr>
              <w:t>35.5万千瓦</w:t>
            </w:r>
          </w:p>
        </w:tc>
        <w:tc>
          <w:tcPr>
            <w:tcW w:w="1464" w:type="dxa"/>
            <w:shd w:val="clear" w:color="auto" w:fill="auto"/>
            <w:vAlign w:val="center"/>
          </w:tcPr>
          <w:p>
            <w:pPr>
              <w:ind w:firstLine="0" w:firstLineChars="0"/>
              <w:jc w:val="center"/>
              <w:rPr>
                <w:rFonts w:eastAsia="宋体"/>
                <w:smallCaps/>
                <w:sz w:val="24"/>
              </w:rPr>
            </w:pPr>
            <w:r>
              <w:rPr>
                <w:rFonts w:eastAsia="宋体"/>
                <w:smallCaps/>
                <w:sz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smallCaps/>
                <w:sz w:val="24"/>
              </w:rPr>
            </w:pPr>
            <w:r>
              <w:rPr>
                <w:rFonts w:eastAsia="宋体"/>
                <w:bCs/>
                <w:smallCaps/>
                <w:sz w:val="24"/>
              </w:rPr>
              <w:t>2</w:t>
            </w:r>
          </w:p>
        </w:tc>
        <w:tc>
          <w:tcPr>
            <w:tcW w:w="3939" w:type="dxa"/>
            <w:vAlign w:val="center"/>
          </w:tcPr>
          <w:p>
            <w:pPr>
              <w:ind w:firstLine="0" w:firstLineChars="0"/>
              <w:rPr>
                <w:rFonts w:eastAsia="宋体"/>
                <w:smallCaps/>
                <w:sz w:val="24"/>
              </w:rPr>
            </w:pPr>
            <w:r>
              <w:rPr>
                <w:rFonts w:eastAsia="宋体"/>
                <w:smallCaps/>
                <w:sz w:val="24"/>
              </w:rPr>
              <w:t>枫树坝水电站</w:t>
            </w:r>
          </w:p>
        </w:tc>
        <w:tc>
          <w:tcPr>
            <w:tcW w:w="2275" w:type="dxa"/>
            <w:vAlign w:val="center"/>
          </w:tcPr>
          <w:p>
            <w:pPr>
              <w:ind w:firstLine="0" w:firstLineChars="0"/>
              <w:jc w:val="center"/>
              <w:rPr>
                <w:rFonts w:eastAsia="宋体"/>
                <w:smallCaps/>
                <w:sz w:val="24"/>
              </w:rPr>
            </w:pPr>
            <w:r>
              <w:rPr>
                <w:rFonts w:eastAsia="宋体"/>
                <w:bCs/>
                <w:smallCaps/>
                <w:sz w:val="24"/>
              </w:rPr>
              <w:t>20万千瓦</w:t>
            </w:r>
          </w:p>
        </w:tc>
        <w:tc>
          <w:tcPr>
            <w:tcW w:w="1464" w:type="dxa"/>
            <w:shd w:val="clear" w:color="auto" w:fill="auto"/>
            <w:vAlign w:val="center"/>
          </w:tcPr>
          <w:p>
            <w:pPr>
              <w:ind w:firstLine="0" w:firstLineChars="0"/>
              <w:jc w:val="center"/>
              <w:rPr>
                <w:rFonts w:eastAsia="宋体"/>
                <w:smallCaps/>
                <w:sz w:val="24"/>
              </w:rPr>
            </w:pPr>
            <w:r>
              <w:rPr>
                <w:rFonts w:eastAsia="宋体"/>
                <w:smallCaps/>
                <w:sz w:val="24"/>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smallCaps/>
                <w:sz w:val="24"/>
              </w:rPr>
            </w:pPr>
            <w:r>
              <w:rPr>
                <w:rFonts w:eastAsia="宋体"/>
                <w:bCs/>
                <w:smallCaps/>
                <w:sz w:val="24"/>
              </w:rPr>
              <w:t>3</w:t>
            </w:r>
          </w:p>
        </w:tc>
        <w:tc>
          <w:tcPr>
            <w:tcW w:w="3939" w:type="dxa"/>
            <w:vAlign w:val="center"/>
          </w:tcPr>
          <w:p>
            <w:pPr>
              <w:ind w:firstLine="0" w:firstLineChars="0"/>
              <w:rPr>
                <w:rFonts w:eastAsia="宋体"/>
                <w:smallCaps/>
                <w:sz w:val="24"/>
              </w:rPr>
            </w:pPr>
            <w:r>
              <w:rPr>
                <w:rFonts w:eastAsia="宋体"/>
                <w:smallCaps/>
                <w:sz w:val="24"/>
              </w:rPr>
              <w:t>110KV、35KV及以下水电电源</w:t>
            </w:r>
          </w:p>
        </w:tc>
        <w:tc>
          <w:tcPr>
            <w:tcW w:w="2275" w:type="dxa"/>
            <w:vAlign w:val="center"/>
          </w:tcPr>
          <w:p>
            <w:pPr>
              <w:ind w:firstLine="0" w:firstLineChars="0"/>
              <w:jc w:val="center"/>
              <w:rPr>
                <w:rFonts w:eastAsia="宋体"/>
                <w:smallCaps/>
                <w:sz w:val="24"/>
              </w:rPr>
            </w:pPr>
            <w:r>
              <w:rPr>
                <w:rFonts w:eastAsia="宋体"/>
                <w:bCs/>
                <w:smallCaps/>
                <w:sz w:val="24"/>
              </w:rPr>
              <w:t>70.74万千瓦</w:t>
            </w:r>
          </w:p>
        </w:tc>
        <w:tc>
          <w:tcPr>
            <w:tcW w:w="1464" w:type="dxa"/>
            <w:shd w:val="clear" w:color="auto" w:fill="auto"/>
            <w:vAlign w:val="center"/>
          </w:tcPr>
          <w:p>
            <w:pPr>
              <w:ind w:firstLine="0" w:firstLineChars="0"/>
              <w:jc w:val="center"/>
              <w:rPr>
                <w:rFonts w:eastAsia="宋体"/>
                <w:smallCaps/>
                <w:sz w:val="24"/>
              </w:rPr>
            </w:pPr>
            <w:r>
              <w:rPr>
                <w:rFonts w:eastAsia="宋体"/>
                <w:smallCaps/>
                <w:sz w:val="24"/>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b/>
                <w:smallCaps/>
                <w:sz w:val="24"/>
              </w:rPr>
            </w:pPr>
            <w:r>
              <w:rPr>
                <w:rFonts w:eastAsia="宋体"/>
                <w:b/>
                <w:smallCaps/>
                <w:sz w:val="24"/>
              </w:rPr>
              <w:t>三</w:t>
            </w:r>
          </w:p>
        </w:tc>
        <w:tc>
          <w:tcPr>
            <w:tcW w:w="3939" w:type="dxa"/>
            <w:vAlign w:val="center"/>
          </w:tcPr>
          <w:p>
            <w:pPr>
              <w:ind w:firstLine="0" w:firstLineChars="0"/>
              <w:rPr>
                <w:rFonts w:eastAsia="宋体"/>
                <w:b/>
                <w:smallCaps/>
                <w:sz w:val="24"/>
              </w:rPr>
            </w:pPr>
            <w:r>
              <w:rPr>
                <w:rFonts w:eastAsia="宋体"/>
                <w:b/>
                <w:smallCaps/>
                <w:sz w:val="24"/>
              </w:rPr>
              <w:t>光伏发电</w:t>
            </w:r>
          </w:p>
        </w:tc>
        <w:tc>
          <w:tcPr>
            <w:tcW w:w="2275" w:type="dxa"/>
            <w:vAlign w:val="center"/>
          </w:tcPr>
          <w:p>
            <w:pPr>
              <w:ind w:firstLine="0" w:firstLineChars="0"/>
              <w:jc w:val="center"/>
              <w:rPr>
                <w:rFonts w:eastAsia="宋体"/>
                <w:b/>
                <w:smallCaps/>
                <w:sz w:val="24"/>
              </w:rPr>
            </w:pPr>
            <w:r>
              <w:rPr>
                <w:rFonts w:eastAsia="宋体"/>
                <w:b/>
                <w:bCs/>
                <w:smallCaps/>
                <w:sz w:val="24"/>
              </w:rPr>
              <w:t>38.13万千瓦</w:t>
            </w:r>
          </w:p>
        </w:tc>
        <w:tc>
          <w:tcPr>
            <w:tcW w:w="1464" w:type="dxa"/>
            <w:shd w:val="clear" w:color="auto" w:fill="auto"/>
            <w:vAlign w:val="center"/>
          </w:tcPr>
          <w:p>
            <w:pPr>
              <w:ind w:firstLine="0" w:firstLineChars="0"/>
              <w:jc w:val="center"/>
              <w:rPr>
                <w:rFonts w:eastAsia="宋体"/>
                <w:b/>
                <w:smallCaps/>
                <w:sz w:val="24"/>
              </w:rPr>
            </w:pPr>
            <w:r>
              <w:rPr>
                <w:rFonts w:eastAsia="宋体"/>
                <w:b/>
                <w:smallCaps/>
                <w:sz w:val="24"/>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b/>
                <w:smallCaps/>
                <w:sz w:val="24"/>
              </w:rPr>
            </w:pPr>
            <w:r>
              <w:rPr>
                <w:rFonts w:eastAsia="宋体"/>
                <w:b/>
                <w:smallCaps/>
                <w:sz w:val="24"/>
              </w:rPr>
              <w:t>四</w:t>
            </w:r>
          </w:p>
        </w:tc>
        <w:tc>
          <w:tcPr>
            <w:tcW w:w="3939" w:type="dxa"/>
            <w:vAlign w:val="center"/>
          </w:tcPr>
          <w:p>
            <w:pPr>
              <w:ind w:firstLine="0" w:firstLineChars="0"/>
              <w:rPr>
                <w:rFonts w:eastAsia="宋体"/>
                <w:b/>
                <w:smallCaps/>
                <w:sz w:val="24"/>
              </w:rPr>
            </w:pPr>
            <w:r>
              <w:rPr>
                <w:rFonts w:eastAsia="宋体"/>
                <w:b/>
                <w:smallCaps/>
                <w:sz w:val="24"/>
              </w:rPr>
              <w:t>风电</w:t>
            </w:r>
          </w:p>
        </w:tc>
        <w:tc>
          <w:tcPr>
            <w:tcW w:w="2275" w:type="dxa"/>
            <w:vAlign w:val="center"/>
          </w:tcPr>
          <w:p>
            <w:pPr>
              <w:ind w:firstLine="0" w:firstLineChars="0"/>
              <w:jc w:val="center"/>
              <w:rPr>
                <w:rFonts w:eastAsia="宋体"/>
                <w:b/>
                <w:smallCaps/>
                <w:sz w:val="24"/>
              </w:rPr>
            </w:pPr>
            <w:r>
              <w:rPr>
                <w:rFonts w:eastAsia="宋体"/>
                <w:b/>
                <w:smallCaps/>
                <w:sz w:val="24"/>
              </w:rPr>
              <w:t>9.9万千瓦</w:t>
            </w:r>
          </w:p>
        </w:tc>
        <w:tc>
          <w:tcPr>
            <w:tcW w:w="1464" w:type="dxa"/>
            <w:shd w:val="clear" w:color="auto" w:fill="auto"/>
            <w:vAlign w:val="center"/>
          </w:tcPr>
          <w:p>
            <w:pPr>
              <w:ind w:firstLine="0" w:firstLineChars="0"/>
              <w:jc w:val="center"/>
              <w:rPr>
                <w:rFonts w:eastAsia="宋体"/>
                <w:b/>
                <w:smallCaps/>
                <w:sz w:val="24"/>
              </w:rPr>
            </w:pPr>
            <w:r>
              <w:rPr>
                <w:rFonts w:eastAsia="宋体"/>
                <w:b/>
                <w:smallCaps/>
                <w:sz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4" w:type="dxa"/>
            <w:vAlign w:val="center"/>
          </w:tcPr>
          <w:p>
            <w:pPr>
              <w:ind w:firstLine="0" w:firstLineChars="0"/>
              <w:jc w:val="center"/>
              <w:rPr>
                <w:rFonts w:eastAsia="宋体"/>
                <w:b/>
                <w:bCs/>
                <w:smallCaps/>
                <w:sz w:val="24"/>
              </w:rPr>
            </w:pPr>
            <w:r>
              <w:rPr>
                <w:rFonts w:eastAsia="宋体"/>
                <w:b/>
                <w:bCs/>
                <w:smallCaps/>
                <w:sz w:val="24"/>
              </w:rPr>
              <w:t>五</w:t>
            </w:r>
          </w:p>
        </w:tc>
        <w:tc>
          <w:tcPr>
            <w:tcW w:w="3939" w:type="dxa"/>
            <w:vAlign w:val="center"/>
          </w:tcPr>
          <w:p>
            <w:pPr>
              <w:ind w:firstLine="0" w:firstLineChars="0"/>
              <w:rPr>
                <w:rFonts w:eastAsia="宋体"/>
                <w:b/>
                <w:bCs/>
                <w:smallCaps/>
                <w:sz w:val="24"/>
              </w:rPr>
            </w:pPr>
            <w:bookmarkStart w:id="6" w:name="_Hlk73106676"/>
            <w:r>
              <w:rPr>
                <w:rFonts w:eastAsia="宋体"/>
                <w:b/>
                <w:bCs/>
                <w:smallCaps/>
                <w:sz w:val="24"/>
              </w:rPr>
              <w:t>生物质发电及其他</w:t>
            </w:r>
            <w:bookmarkEnd w:id="6"/>
          </w:p>
        </w:tc>
        <w:tc>
          <w:tcPr>
            <w:tcW w:w="2275" w:type="dxa"/>
            <w:vAlign w:val="center"/>
          </w:tcPr>
          <w:p>
            <w:pPr>
              <w:ind w:firstLine="0" w:firstLineChars="0"/>
              <w:jc w:val="center"/>
              <w:rPr>
                <w:rFonts w:eastAsia="宋体"/>
                <w:b/>
                <w:bCs/>
                <w:smallCaps/>
                <w:sz w:val="24"/>
              </w:rPr>
            </w:pPr>
            <w:r>
              <w:rPr>
                <w:rFonts w:eastAsia="宋体"/>
                <w:b/>
                <w:bCs/>
                <w:smallCaps/>
                <w:sz w:val="24"/>
              </w:rPr>
              <w:t>2.17万千瓦</w:t>
            </w:r>
          </w:p>
        </w:tc>
        <w:tc>
          <w:tcPr>
            <w:tcW w:w="1464" w:type="dxa"/>
            <w:shd w:val="clear" w:color="auto" w:fill="auto"/>
            <w:vAlign w:val="center"/>
          </w:tcPr>
          <w:p>
            <w:pPr>
              <w:ind w:firstLine="0" w:firstLineChars="0"/>
              <w:jc w:val="center"/>
              <w:rPr>
                <w:rFonts w:eastAsia="宋体"/>
                <w:b/>
                <w:bCs/>
                <w:smallCaps/>
                <w:sz w:val="24"/>
              </w:rPr>
            </w:pPr>
            <w:r>
              <w:rPr>
                <w:rFonts w:eastAsia="宋体"/>
                <w:b/>
                <w:bCs/>
                <w:smallCaps/>
                <w:sz w:val="24"/>
              </w:rPr>
              <w:t>0.7%</w:t>
            </w:r>
          </w:p>
        </w:tc>
      </w:tr>
    </w:tbl>
    <w:p>
      <w:pPr>
        <w:ind w:firstLine="0" w:firstLineChars="0"/>
        <w:contextualSpacing/>
        <w:rPr>
          <w:bCs/>
          <w:kern w:val="44"/>
          <w:szCs w:val="28"/>
        </w:rPr>
      </w:pPr>
      <w:r>
        <w:rPr>
          <w:bCs/>
          <w:kern w:val="44"/>
          <w:szCs w:val="28"/>
        </w:rPr>
        <w:drawing>
          <wp:inline distT="0" distB="0" distL="114300" distR="114300">
            <wp:extent cx="5273040" cy="2472690"/>
            <wp:effectExtent l="4445" t="4445" r="18415" b="1841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after="312" w:afterLines="100"/>
        <w:ind w:firstLine="0" w:firstLineChars="0"/>
        <w:contextualSpacing/>
        <w:jc w:val="center"/>
        <w:rPr>
          <w:bCs/>
          <w:kern w:val="44"/>
          <w:sz w:val="28"/>
          <w:szCs w:val="28"/>
        </w:rPr>
      </w:pPr>
      <w:r>
        <w:rPr>
          <w:bCs/>
          <w:kern w:val="44"/>
          <w:sz w:val="28"/>
          <w:szCs w:val="28"/>
        </w:rPr>
        <w:t>图1-3  2015年和2020年河源市电源装机规模变化</w:t>
      </w:r>
    </w:p>
    <w:p>
      <w:pPr>
        <w:ind w:firstLine="0" w:firstLineChars="0"/>
        <w:contextualSpacing/>
        <w:jc w:val="left"/>
        <w:rPr>
          <w:bCs/>
          <w:kern w:val="44"/>
          <w:szCs w:val="28"/>
        </w:rPr>
      </w:pPr>
      <w:r>
        <w:rPr>
          <w:bCs/>
          <w:kern w:val="44"/>
          <w:szCs w:val="28"/>
        </w:rPr>
        <w:drawing>
          <wp:inline distT="0" distB="0" distL="114300" distR="114300">
            <wp:extent cx="2694305" cy="2532380"/>
            <wp:effectExtent l="4445" t="4445" r="6350" b="15875"/>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bCs/>
          <w:kern w:val="44"/>
          <w:szCs w:val="28"/>
        </w:rPr>
        <w:drawing>
          <wp:inline distT="0" distB="0" distL="114300" distR="114300">
            <wp:extent cx="2509520" cy="2553970"/>
            <wp:effectExtent l="4445" t="4445" r="19685" b="1333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after="312" w:afterLines="100"/>
        <w:ind w:firstLine="0" w:firstLineChars="0"/>
        <w:jc w:val="center"/>
        <w:rPr>
          <w:sz w:val="28"/>
          <w:szCs w:val="28"/>
        </w:rPr>
      </w:pPr>
      <w:r>
        <w:rPr>
          <w:sz w:val="28"/>
          <w:szCs w:val="28"/>
        </w:rPr>
        <w:t>图1-4  2015年和2020年河源市电源装机结构变化</w:t>
      </w:r>
    </w:p>
    <w:p>
      <w:pPr>
        <w:pStyle w:val="6"/>
        <w:ind w:firstLine="643"/>
        <w:rPr>
          <w:rFonts w:cs="Times New Roman"/>
        </w:rPr>
      </w:pPr>
      <w:bookmarkStart w:id="7" w:name="_Toc106032985"/>
      <w:r>
        <w:rPr>
          <w:rFonts w:cs="Times New Roman"/>
        </w:rPr>
        <w:t>3.产业结构持续优化</w:t>
      </w:r>
      <w:bookmarkEnd w:id="7"/>
    </w:p>
    <w:p>
      <w:pPr>
        <w:ind w:firstLine="643"/>
        <w:rPr>
          <w:b/>
        </w:rPr>
      </w:pPr>
      <w:bookmarkStart w:id="8" w:name="_Toc24471748"/>
      <w:bookmarkStart w:id="9" w:name="_Toc35969935"/>
      <w:bookmarkStart w:id="10" w:name="_Toc24471898"/>
      <w:bookmarkStart w:id="11" w:name="_Toc58502079"/>
      <w:bookmarkStart w:id="12" w:name="_Toc60673443"/>
      <w:bookmarkStart w:id="13" w:name="_Toc24553883"/>
      <w:r>
        <w:rPr>
          <w:b/>
        </w:rPr>
        <w:t>（1）</w:t>
      </w:r>
      <w:bookmarkEnd w:id="8"/>
      <w:bookmarkEnd w:id="9"/>
      <w:bookmarkEnd w:id="10"/>
      <w:bookmarkEnd w:id="11"/>
      <w:bookmarkEnd w:id="12"/>
      <w:bookmarkEnd w:id="13"/>
      <w:r>
        <w:rPr>
          <w:b/>
        </w:rPr>
        <w:t>第三产业占主导地位</w:t>
      </w:r>
    </w:p>
    <w:p>
      <w:pPr>
        <w:ind w:firstLine="640"/>
      </w:pPr>
      <w:bookmarkStart w:id="14" w:name="_Hlk23872181"/>
      <w:r>
        <w:t>2020年全市实现地区生产总值1102.74亿元，同比增长1.3%，增速在北部生态发展区五市排第一位。三次产业结构由2015年的11.5：45.8：42.7</w:t>
      </w:r>
      <w:r>
        <w:rPr>
          <w:szCs w:val="32"/>
        </w:rPr>
        <w:t>调整为2020年的12.4：34.0：53.6，第三产业占比上升10.9个百分点，占据主导地位，成为拉动国民经济增长的主要动力。</w:t>
      </w:r>
      <w:bookmarkEnd w:id="14"/>
      <w:r>
        <w:rPr>
          <w:szCs w:val="32"/>
        </w:rPr>
        <w:t>其中，</w:t>
      </w:r>
      <w:bookmarkStart w:id="15" w:name="_Hlk23872345"/>
      <w:r>
        <w:rPr>
          <w:szCs w:val="32"/>
        </w:rPr>
        <w:t>2020年服务业增加值达591.16亿元，是2015年的1.7倍。综合保税区、保税物流中心（B型）、中欧班列、整车进口、无水港等开放新平台加速建设，出口监管仓和进口保税库获批，跨境电商、保税物流等外贸新业态加快发展。全域旅游建设大力推进，2020年，全市接待旅游总人数2</w:t>
      </w:r>
      <w:r>
        <w:t>536.81万人次，同比增长15.2%；实现旅游总收入211.00亿元，同比增长19.2%。</w:t>
      </w:r>
      <w:bookmarkEnd w:id="15"/>
    </w:p>
    <w:p>
      <w:pPr>
        <w:ind w:firstLine="643"/>
        <w:rPr>
          <w:b/>
        </w:rPr>
      </w:pPr>
      <w:r>
        <w:rPr>
          <w:b/>
        </w:rPr>
        <w:t>（2）工业转型升级稳步推进</w:t>
      </w:r>
    </w:p>
    <w:p>
      <w:pPr>
        <w:ind w:firstLine="640"/>
      </w:pPr>
      <w:r>
        <w:t>全市制造业产业结构不断优化，2020年全市先进制造业、高技术制造业和优势传统</w:t>
      </w:r>
      <w:r>
        <w:rPr>
          <w:szCs w:val="32"/>
        </w:rPr>
        <w:t>产业分别实现规模以上增加值</w:t>
      </w:r>
      <w:r>
        <w:rPr>
          <w:sz w:val="30"/>
          <w:szCs w:val="30"/>
        </w:rPr>
        <w:t>101.68</w:t>
      </w:r>
      <w:r>
        <w:rPr>
          <w:szCs w:val="32"/>
        </w:rPr>
        <w:t>亿元、</w:t>
      </w:r>
      <w:r>
        <w:rPr>
          <w:spacing w:val="-2"/>
          <w:sz w:val="30"/>
          <w:szCs w:val="30"/>
        </w:rPr>
        <w:t>149.28</w:t>
      </w:r>
      <w:r>
        <w:rPr>
          <w:szCs w:val="32"/>
        </w:rPr>
        <w:t>亿元和</w:t>
      </w:r>
      <w:r>
        <w:rPr>
          <w:sz w:val="30"/>
          <w:szCs w:val="30"/>
        </w:rPr>
        <w:t>64.66</w:t>
      </w:r>
      <w:r>
        <w:rPr>
          <w:szCs w:val="32"/>
        </w:rPr>
        <w:t>亿元，同比增长</w:t>
      </w:r>
      <w:r>
        <w:rPr>
          <w:sz w:val="30"/>
          <w:szCs w:val="30"/>
        </w:rPr>
        <w:t>4.6</w:t>
      </w:r>
      <w:r>
        <w:rPr>
          <w:szCs w:val="32"/>
        </w:rPr>
        <w:t>%、</w:t>
      </w:r>
      <w:r>
        <w:rPr>
          <w:spacing w:val="-2"/>
          <w:sz w:val="30"/>
          <w:szCs w:val="30"/>
        </w:rPr>
        <w:t>10.3</w:t>
      </w:r>
      <w:r>
        <w:rPr>
          <w:szCs w:val="32"/>
        </w:rPr>
        <w:t>%和</w:t>
      </w:r>
      <w:r>
        <w:rPr>
          <w:sz w:val="30"/>
          <w:szCs w:val="30"/>
        </w:rPr>
        <w:t>5.1</w:t>
      </w:r>
      <w:r>
        <w:rPr>
          <w:szCs w:val="32"/>
        </w:rPr>
        <w:t>%，新兴产业对整体经济发展的推动作用明显增强。</w:t>
      </w:r>
    </w:p>
    <w:p>
      <w:pPr>
        <w:pStyle w:val="6"/>
        <w:ind w:firstLine="643"/>
        <w:rPr>
          <w:rFonts w:cs="Times New Roman"/>
        </w:rPr>
      </w:pPr>
      <w:bookmarkStart w:id="16" w:name="_Toc106032986"/>
      <w:r>
        <w:rPr>
          <w:rFonts w:cs="Times New Roman"/>
        </w:rPr>
        <w:t>4.重点领域节能成效显著</w:t>
      </w:r>
      <w:bookmarkEnd w:id="16"/>
    </w:p>
    <w:p>
      <w:pPr>
        <w:ind w:firstLine="643"/>
        <w:rPr>
          <w:b/>
          <w:szCs w:val="32"/>
        </w:rPr>
      </w:pPr>
      <w:r>
        <w:rPr>
          <w:b/>
          <w:szCs w:val="32"/>
        </w:rPr>
        <w:t>（1）高耗能行业能耗整体下滑</w:t>
      </w:r>
    </w:p>
    <w:p>
      <w:pPr>
        <w:ind w:firstLine="640"/>
      </w:pPr>
      <w:r>
        <w:t>2020年，全市五大</w:t>
      </w:r>
      <w:r>
        <w:rPr>
          <w:szCs w:val="32"/>
        </w:rPr>
        <w:t>高耗能行业（电力热力的生产及供应业、非金属矿物制品业、黑色金属冶炼业、有色金属冶炼业和化学制造业）综合能源消费量133.70万吨标准煤，占全市规模以上工业能耗比重的81.3%，同比下降13.7%，降幅同比扩大3.0个百分点，拉动全市规模以上工业综合能耗下降11.51个百分点。能耗下降最快的是化学原料和化学制品制造业，同比下降56.4%，降幅同比扩大56.6个百分点；同比能耗增长最快的是有色金属冶炼和压延加工业，其能耗同比增长46.8%，增幅同比扩大38.2个百分点；拉动全市规模以上工业综合能耗下降作用最明显的是占行业比重最大的电力、热力生产和供应业，占全市规模以上工业综合能源消费量的64.6%，降幅同比收窄5.9个百分点</w:t>
      </w:r>
      <w:r>
        <w:t>，拉动全市规模以上工业能综合能耗下降5.95%。</w:t>
      </w:r>
    </w:p>
    <w:p>
      <w:pPr>
        <w:ind w:firstLine="0" w:firstLineChars="0"/>
        <w:jc w:val="center"/>
      </w:pPr>
      <w:r>
        <w:t>表1-3   2020年河源市高耗能行业能源消费情况表</w:t>
      </w:r>
    </w:p>
    <w:tbl>
      <w:tblPr>
        <w:tblStyle w:val="4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2"/>
        <w:gridCol w:w="1612"/>
        <w:gridCol w:w="1278"/>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3842" w:type="dxa"/>
            <w:vAlign w:val="center"/>
          </w:tcPr>
          <w:p>
            <w:pPr>
              <w:widowControl/>
              <w:snapToGrid w:val="0"/>
              <w:spacing w:line="240" w:lineRule="auto"/>
              <w:ind w:firstLine="0" w:firstLineChars="0"/>
              <w:jc w:val="center"/>
              <w:rPr>
                <w:rFonts w:ascii="Calibri" w:hAnsi="Calibri" w:eastAsia="宋体"/>
                <w:b/>
                <w:kern w:val="0"/>
                <w:sz w:val="22"/>
                <w:szCs w:val="22"/>
              </w:rPr>
            </w:pPr>
            <w:r>
              <w:rPr>
                <w:rFonts w:ascii="Calibri" w:hAnsi="Calibri" w:eastAsia="宋体"/>
                <w:b/>
                <w:kern w:val="0"/>
                <w:sz w:val="22"/>
                <w:szCs w:val="22"/>
              </w:rPr>
              <w:t>行业</w:t>
            </w:r>
          </w:p>
        </w:tc>
        <w:tc>
          <w:tcPr>
            <w:tcW w:w="1612" w:type="dxa"/>
            <w:vAlign w:val="center"/>
          </w:tcPr>
          <w:p>
            <w:pPr>
              <w:widowControl/>
              <w:snapToGrid w:val="0"/>
              <w:spacing w:line="240" w:lineRule="auto"/>
              <w:ind w:firstLine="0" w:firstLineChars="0"/>
              <w:jc w:val="center"/>
              <w:rPr>
                <w:rFonts w:ascii="Calibri" w:hAnsi="Calibri" w:eastAsia="宋体"/>
                <w:b/>
                <w:kern w:val="0"/>
                <w:sz w:val="22"/>
                <w:szCs w:val="22"/>
              </w:rPr>
            </w:pPr>
            <w:r>
              <w:rPr>
                <w:rFonts w:ascii="Calibri" w:hAnsi="Calibri" w:eastAsia="宋体"/>
                <w:b/>
                <w:kern w:val="0"/>
                <w:sz w:val="22"/>
                <w:szCs w:val="22"/>
              </w:rPr>
              <w:t>能源消费量</w:t>
            </w:r>
          </w:p>
          <w:p>
            <w:pPr>
              <w:widowControl/>
              <w:snapToGrid w:val="0"/>
              <w:spacing w:line="240" w:lineRule="auto"/>
              <w:ind w:firstLine="0" w:firstLineChars="0"/>
              <w:jc w:val="center"/>
              <w:rPr>
                <w:rFonts w:ascii="Calibri" w:hAnsi="Calibri" w:eastAsia="宋体"/>
                <w:b/>
                <w:kern w:val="0"/>
                <w:sz w:val="22"/>
                <w:szCs w:val="22"/>
              </w:rPr>
            </w:pPr>
            <w:r>
              <w:rPr>
                <w:rFonts w:ascii="Calibri" w:hAnsi="Calibri" w:eastAsia="宋体"/>
                <w:b/>
                <w:kern w:val="0"/>
                <w:sz w:val="22"/>
                <w:szCs w:val="22"/>
              </w:rPr>
              <w:t>（吨标准煤)</w:t>
            </w:r>
          </w:p>
        </w:tc>
        <w:tc>
          <w:tcPr>
            <w:tcW w:w="1278" w:type="dxa"/>
            <w:vAlign w:val="center"/>
          </w:tcPr>
          <w:p>
            <w:pPr>
              <w:widowControl/>
              <w:snapToGrid w:val="0"/>
              <w:spacing w:line="240" w:lineRule="auto"/>
              <w:ind w:firstLine="0" w:firstLineChars="0"/>
              <w:jc w:val="center"/>
              <w:rPr>
                <w:rFonts w:ascii="Calibri" w:hAnsi="Calibri" w:eastAsia="宋体"/>
                <w:b/>
                <w:kern w:val="0"/>
                <w:sz w:val="22"/>
                <w:szCs w:val="22"/>
              </w:rPr>
            </w:pPr>
            <w:r>
              <w:rPr>
                <w:rFonts w:ascii="Calibri" w:hAnsi="Calibri" w:eastAsia="宋体"/>
                <w:b/>
                <w:kern w:val="0"/>
                <w:sz w:val="22"/>
                <w:szCs w:val="22"/>
              </w:rPr>
              <w:t>同比增长</w:t>
            </w:r>
          </w:p>
          <w:p>
            <w:pPr>
              <w:widowControl/>
              <w:snapToGrid w:val="0"/>
              <w:spacing w:line="240" w:lineRule="auto"/>
              <w:ind w:firstLine="0" w:firstLineChars="0"/>
              <w:jc w:val="center"/>
              <w:rPr>
                <w:rFonts w:ascii="Calibri" w:hAnsi="Calibri" w:eastAsia="宋体"/>
                <w:b/>
                <w:kern w:val="0"/>
                <w:sz w:val="22"/>
                <w:szCs w:val="22"/>
              </w:rPr>
            </w:pPr>
            <w:r>
              <w:rPr>
                <w:rFonts w:ascii="Calibri" w:hAnsi="Calibri" w:eastAsia="宋体"/>
                <w:b/>
                <w:kern w:val="0"/>
                <w:sz w:val="22"/>
                <w:szCs w:val="22"/>
              </w:rPr>
              <w:t>(%)</w:t>
            </w:r>
          </w:p>
        </w:tc>
        <w:tc>
          <w:tcPr>
            <w:tcW w:w="1790" w:type="dxa"/>
            <w:vAlign w:val="center"/>
          </w:tcPr>
          <w:p>
            <w:pPr>
              <w:widowControl/>
              <w:snapToGrid w:val="0"/>
              <w:spacing w:line="240" w:lineRule="auto"/>
              <w:ind w:firstLine="0" w:firstLineChars="0"/>
              <w:jc w:val="center"/>
              <w:rPr>
                <w:rFonts w:ascii="Calibri" w:hAnsi="Calibri" w:eastAsia="宋体"/>
                <w:b/>
                <w:kern w:val="0"/>
                <w:sz w:val="22"/>
                <w:szCs w:val="22"/>
              </w:rPr>
            </w:pPr>
            <w:r>
              <w:rPr>
                <w:rFonts w:ascii="Calibri" w:hAnsi="Calibri" w:eastAsia="宋体"/>
                <w:b/>
                <w:kern w:val="0"/>
                <w:sz w:val="22"/>
                <w:szCs w:val="22"/>
              </w:rPr>
              <w:t>拉动规上工业</w:t>
            </w:r>
          </w:p>
          <w:p>
            <w:pPr>
              <w:widowControl/>
              <w:snapToGrid w:val="0"/>
              <w:spacing w:line="240" w:lineRule="auto"/>
              <w:ind w:firstLine="0" w:firstLineChars="0"/>
              <w:jc w:val="center"/>
              <w:rPr>
                <w:rFonts w:ascii="Calibri" w:hAnsi="Calibri" w:eastAsia="宋体"/>
                <w:b/>
                <w:kern w:val="0"/>
                <w:sz w:val="22"/>
                <w:szCs w:val="22"/>
              </w:rPr>
            </w:pPr>
            <w:r>
              <w:rPr>
                <w:rFonts w:ascii="Calibri" w:hAnsi="Calibri" w:eastAsia="宋体"/>
                <w:b/>
                <w:kern w:val="0"/>
                <w:sz w:val="22"/>
                <w:szCs w:val="22"/>
              </w:rPr>
              <w:t>能耗百分点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全市规模以上工业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1644655</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-10.6</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全市规模以上高耗能行业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1336959</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-13.7</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电力、热力生产和供应业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802810</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-12.0</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非金属矿物制品业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344911</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-16.4</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黑色金属冶炼和压延加工业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177971</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-15.1</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有色金属冶炼和压延加工业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7165</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46.8</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化学原料和化学制品制造业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4102</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-56.4</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384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石油加工、炼焦和核然料加工业</w:t>
            </w:r>
          </w:p>
        </w:tc>
        <w:tc>
          <w:tcPr>
            <w:tcW w:w="1612"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0</w:t>
            </w:r>
          </w:p>
        </w:tc>
        <w:tc>
          <w:tcPr>
            <w:tcW w:w="1278"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w:t>
            </w:r>
          </w:p>
        </w:tc>
        <w:tc>
          <w:tcPr>
            <w:tcW w:w="1790" w:type="dxa"/>
            <w:vAlign w:val="center"/>
          </w:tcPr>
          <w:p>
            <w:pPr>
              <w:widowControl/>
              <w:snapToGrid w:val="0"/>
              <w:spacing w:line="240" w:lineRule="auto"/>
              <w:ind w:firstLine="0" w:firstLineChars="0"/>
              <w:jc w:val="center"/>
              <w:rPr>
                <w:rFonts w:ascii="Calibri" w:hAnsi="Calibri" w:eastAsia="宋体"/>
                <w:kern w:val="0"/>
                <w:sz w:val="22"/>
                <w:szCs w:val="22"/>
              </w:rPr>
            </w:pPr>
            <w:r>
              <w:rPr>
                <w:rFonts w:ascii="Calibri" w:hAnsi="Calibri" w:eastAsia="宋体"/>
                <w:kern w:val="0"/>
                <w:sz w:val="22"/>
                <w:szCs w:val="22"/>
              </w:rPr>
              <w:t>/</w:t>
            </w:r>
          </w:p>
        </w:tc>
      </w:tr>
    </w:tbl>
    <w:p>
      <w:pPr>
        <w:ind w:firstLine="643"/>
        <w:rPr>
          <w:b/>
          <w:szCs w:val="32"/>
        </w:rPr>
      </w:pPr>
    </w:p>
    <w:p>
      <w:pPr>
        <w:ind w:firstLine="643"/>
        <w:rPr>
          <w:b/>
          <w:szCs w:val="32"/>
        </w:rPr>
      </w:pPr>
      <w:r>
        <w:rPr>
          <w:b/>
          <w:szCs w:val="32"/>
        </w:rPr>
        <w:t>（2）各领域节能管理水平进一步提升</w:t>
      </w:r>
    </w:p>
    <w:p>
      <w:pPr>
        <w:ind w:firstLine="640"/>
        <w:rPr>
          <w:szCs w:val="32"/>
        </w:rPr>
      </w:pPr>
      <w:r>
        <w:rPr>
          <w:szCs w:val="32"/>
        </w:rPr>
        <w:t>进一步落实建筑节能，“十三五”期间我市完成省下达城镇绿色建筑占新建建筑比例目标任务，新建民用建筑在设计、施工阶段执行节能强制性标准达到100%。稳步推进交通节能，“十三五”期间开展绿色交通建设工程，将河惠莞高速公路紫惠段打造成地域特色的线性动态公路景观走廊。持续推进公共机构领域节能，“十三五”期间我市人均综合能耗和单位建筑面积能耗分别下降30.0%和10.14%，完成了省下达的下降目标；开展国家节约型公共机构示范单位创建工作，我市和平中学等4家单位被评为全国节约型公共机构示范单位。节能管理与服务水平进一步加强，开展节能执法监督检查，加强能源统计能力建设，进一步健全能源计量体系。节能考核体系与支持政策不断完善，出台了系列能源价格政策，落实资金支持，推广节能技术和产品，不断完善市场化机制建设。</w:t>
      </w:r>
    </w:p>
    <w:p>
      <w:pPr>
        <w:pStyle w:val="5"/>
        <w:ind w:firstLine="0" w:firstLineChars="0"/>
        <w:jc w:val="center"/>
        <w:rPr>
          <w:rFonts w:ascii="Times New Roman" w:hAnsi="Times New Roman" w:cs="Times New Roman"/>
        </w:rPr>
      </w:pPr>
      <w:bookmarkStart w:id="17" w:name="_Toc106032987"/>
      <w:r>
        <w:rPr>
          <w:rFonts w:hint="eastAsia" w:ascii="Times New Roman" w:hAnsi="Times New Roman" w:cs="Times New Roman"/>
        </w:rPr>
        <w:t xml:space="preserve">第二节 </w:t>
      </w:r>
      <w:r>
        <w:rPr>
          <w:rFonts w:ascii="Times New Roman" w:hAnsi="Times New Roman" w:cs="Times New Roman"/>
        </w:rPr>
        <w:t xml:space="preserve"> 存在问题</w:t>
      </w:r>
      <w:bookmarkEnd w:id="17"/>
    </w:p>
    <w:p>
      <w:pPr>
        <w:pStyle w:val="6"/>
        <w:ind w:firstLine="643"/>
        <w:rPr>
          <w:rFonts w:cs="Times New Roman"/>
        </w:rPr>
      </w:pPr>
      <w:bookmarkStart w:id="18" w:name="_Toc106032988"/>
      <w:r>
        <w:rPr>
          <w:rFonts w:cs="Times New Roman"/>
        </w:rPr>
        <w:t>1.“煤改气”工作推行困难</w:t>
      </w:r>
      <w:bookmarkEnd w:id="18"/>
    </w:p>
    <w:p>
      <w:pPr>
        <w:ind w:firstLine="640"/>
      </w:pPr>
      <w:r>
        <w:t>我市远离广东省沿海LNG接收站的供应辐射范围，国家管网对途径的部分区域进行供气也存在困难，导致规模化气源长期无法得到</w:t>
      </w:r>
      <w:r>
        <w:rPr>
          <w:szCs w:val="32"/>
        </w:rPr>
        <w:t>落实。我市管道天然气普及率仅为33.8%，低于粤北地区47.7%的平均水平，龙川县、和平县、东源县、连平县等地也未通达天然气主干管道，天然气基础设施发展水平仅处于起步阶段，天然气通过长途输送，运输层级多，供应成本高，仅用气价</w:t>
      </w:r>
      <w:r>
        <w:t>格就比全省平均水平高13%以上。天然气的供应保障能力弱、价格高直接影响我市“煤改气”工作进度，导致“煤改气”工作推行困难。</w:t>
      </w:r>
    </w:p>
    <w:p>
      <w:pPr>
        <w:pStyle w:val="6"/>
        <w:ind w:firstLine="643"/>
        <w:rPr>
          <w:rFonts w:cs="Times New Roman"/>
        </w:rPr>
      </w:pPr>
      <w:bookmarkStart w:id="19" w:name="_Toc106032989"/>
      <w:r>
        <w:rPr>
          <w:rFonts w:cs="Times New Roman"/>
        </w:rPr>
        <w:t>2.企业节能降耗内生动力不足</w:t>
      </w:r>
      <w:bookmarkEnd w:id="19"/>
    </w:p>
    <w:p>
      <w:pPr>
        <w:ind w:firstLine="640"/>
      </w:pPr>
      <w:r>
        <w:t>随着经济发展进入新常态，受新冠疫情、中美经贸摩擦等因素影响，地区生产总值出</w:t>
      </w:r>
      <w:r>
        <w:rPr>
          <w:szCs w:val="32"/>
        </w:rPr>
        <w:t>现增速回落的趋势，经济面临下行压力，GDP增速下行压力进一步加大。部分用能企业的产品市场需求不旺，生产成本增加，经济效益下滑，节能投入受到影响。加上“十一五”至“十三五”时期，单位GDP能耗已经实现较大的下降幅度，在节能技术没有重大突破的情况下，企业在“十四五”期间继续大幅度降</w:t>
      </w:r>
      <w:r>
        <w:t>低能耗难度加大。</w:t>
      </w:r>
    </w:p>
    <w:p>
      <w:pPr>
        <w:pStyle w:val="6"/>
        <w:ind w:firstLine="643"/>
        <w:rPr>
          <w:rFonts w:cs="Times New Roman"/>
        </w:rPr>
      </w:pPr>
      <w:bookmarkStart w:id="20" w:name="_Toc106032990"/>
      <w:r>
        <w:rPr>
          <w:rFonts w:cs="Times New Roman"/>
        </w:rPr>
        <w:t>3.非工业用电需求上升明显</w:t>
      </w:r>
      <w:bookmarkEnd w:id="20"/>
    </w:p>
    <w:p>
      <w:pPr>
        <w:ind w:firstLine="640"/>
        <w:rPr>
          <w:b/>
          <w:szCs w:val="32"/>
        </w:rPr>
      </w:pPr>
      <w:r>
        <w:rPr>
          <w:bCs/>
          <w:kern w:val="0"/>
          <w:szCs w:val="32"/>
        </w:rPr>
        <w:t>由于我市第三产业</w:t>
      </w:r>
      <w:r>
        <w:rPr>
          <w:szCs w:val="32"/>
        </w:rPr>
        <w:t>增加值比重已超过50%且呈增长趋势，城乡居民生活水平和电气化水平也持续提高，尤其是数据中心、5G基站等新基建的快速增长，非工业用电量的快速增长，带动非工业能耗增长。以2020年为例，全市全社会用电增速2.0%，与GDP增长速度持平，单位GDP电耗增长12%，其中非工业用电量增速高达8.6%，比全社会用电量增速高出4.7个百分点，对全市节能工作产生较大压力。</w:t>
      </w:r>
    </w:p>
    <w:p>
      <w:pPr>
        <w:spacing w:line="600" w:lineRule="exact"/>
        <w:ind w:firstLine="643"/>
        <w:rPr>
          <w:b/>
          <w:szCs w:val="32"/>
        </w:rPr>
        <w:sectPr>
          <w:footerReference r:id="rId10" w:type="default"/>
          <w:pgSz w:w="11906" w:h="16838"/>
          <w:pgMar w:top="1440" w:right="1800" w:bottom="1440" w:left="1800" w:header="851" w:footer="992" w:gutter="0"/>
          <w:pgNumType w:start="1"/>
          <w:cols w:space="425" w:num="1"/>
          <w:docGrid w:type="lines" w:linePitch="312" w:charSpace="0"/>
        </w:sectPr>
      </w:pPr>
    </w:p>
    <w:p>
      <w:pPr>
        <w:pStyle w:val="3"/>
        <w:jc w:val="center"/>
        <w:rPr>
          <w:rFonts w:ascii="Times New Roman" w:hAnsi="Times New Roman"/>
          <w:color w:val="auto"/>
        </w:rPr>
      </w:pPr>
      <w:bookmarkStart w:id="21" w:name="_Toc106032991"/>
      <w:r>
        <w:rPr>
          <w:rFonts w:hint="eastAsia" w:ascii="Times New Roman" w:hAnsi="Times New Roman"/>
          <w:color w:val="auto"/>
        </w:rPr>
        <w:t xml:space="preserve">第二章 </w:t>
      </w:r>
      <w:r>
        <w:rPr>
          <w:rFonts w:ascii="Times New Roman" w:hAnsi="Times New Roman"/>
          <w:color w:val="auto"/>
        </w:rPr>
        <w:t xml:space="preserve"> 面临形势</w:t>
      </w:r>
      <w:bookmarkEnd w:id="21"/>
    </w:p>
    <w:p>
      <w:pPr>
        <w:ind w:firstLine="640"/>
      </w:pPr>
      <w:r>
        <w:t>“十四五”时期是广东</w:t>
      </w:r>
      <w:r>
        <w:rPr>
          <w:szCs w:val="32"/>
        </w:rPr>
        <w:t>省实现“四个走在全国”、当好“两个重要窗口”征程上迈出新步伐，为实现第二个百年奋斗目标打好基础的关键时期，也是河源市把握建设机遇、增创改革发展新优势，推动绿色发展理念落地见效，坚持“融湾”“融深”、</w:t>
      </w:r>
      <w:r>
        <w:t>奋力建设幸福和谐美丽河源</w:t>
      </w:r>
      <w:r>
        <w:rPr>
          <w:szCs w:val="32"/>
        </w:rPr>
        <w:t>的发展战略机遇期。“十四五”时期，河源市面临着经济增速下滑、社会风险增多等前所未有的压力和挑战，节能工作面临新形势</w:t>
      </w:r>
      <w:r>
        <w:t>、新任务和新要求。</w:t>
      </w:r>
    </w:p>
    <w:p>
      <w:pPr>
        <w:pStyle w:val="5"/>
        <w:ind w:firstLine="0" w:firstLineChars="0"/>
        <w:jc w:val="center"/>
        <w:rPr>
          <w:rFonts w:ascii="Times New Roman" w:hAnsi="Times New Roman" w:cs="Times New Roman"/>
        </w:rPr>
      </w:pPr>
      <w:bookmarkStart w:id="22" w:name="_Toc106032992"/>
      <w:r>
        <w:rPr>
          <w:rFonts w:hint="eastAsia" w:ascii="Times New Roman" w:hAnsi="Times New Roman" w:cs="Times New Roman"/>
        </w:rPr>
        <w:t xml:space="preserve">第一节 </w:t>
      </w:r>
      <w:r>
        <w:rPr>
          <w:rFonts w:ascii="Times New Roman" w:hAnsi="Times New Roman" w:cs="Times New Roman"/>
        </w:rPr>
        <w:t xml:space="preserve"> 发展机遇</w:t>
      </w:r>
      <w:bookmarkEnd w:id="22"/>
    </w:p>
    <w:p>
      <w:pPr>
        <w:ind w:firstLine="640"/>
      </w:pPr>
      <w:bookmarkStart w:id="23" w:name="_Toc58502093"/>
      <w:bookmarkStart w:id="24" w:name="_Toc46847581"/>
      <w:bookmarkStart w:id="25" w:name="_Toc60673452"/>
      <w:bookmarkStart w:id="26" w:name="_Toc38042741"/>
      <w:bookmarkStart w:id="27" w:name="_Toc41136236"/>
      <w:r>
        <w:t>河源市生态条件优越，具备良好的土地资源、环境容量等后发优势，有利于充分发挥“双区驱动”效应的带动优势，增创改革发展新优势。</w:t>
      </w:r>
    </w:p>
    <w:bookmarkEnd w:id="23"/>
    <w:bookmarkEnd w:id="24"/>
    <w:bookmarkEnd w:id="25"/>
    <w:bookmarkEnd w:id="26"/>
    <w:bookmarkEnd w:id="27"/>
    <w:p>
      <w:pPr>
        <w:ind w:firstLine="640"/>
      </w:pPr>
      <w:r>
        <w:t>——</w:t>
      </w:r>
      <w:r>
        <w:rPr>
          <w:b/>
        </w:rPr>
        <w:t>“双区驱动”为节能工作提供了良好的政策支持和技术支撑。</w:t>
      </w:r>
      <w:r>
        <w:t>粤港澳大湾区建设、支持深圳建设中国特色社会主义先行示范区和“一核一</w:t>
      </w:r>
      <w:r>
        <w:rPr>
          <w:szCs w:val="32"/>
        </w:rPr>
        <w:t>带一区”区域发展新格局等国家决策和省政府部署将生态文明建设和节约资源放在重要位置，致力于形成节约资源和环境保护的空间格局、产业结构、生产和生活方式。</w:t>
      </w:r>
      <w:r>
        <w:t xml:space="preserve">随着河源市积极加快推进“融湾”“融深”，将为节能工作提供良好的政策支持和技术支撑。 </w:t>
      </w:r>
    </w:p>
    <w:p>
      <w:pPr>
        <w:ind w:firstLine="640"/>
      </w:pPr>
      <w:r>
        <w:t>——</w:t>
      </w:r>
      <w:r>
        <w:rPr>
          <w:b/>
        </w:rPr>
        <w:t>经济发展空间结构深刻变化要求区域能源政策协调发展、适当弹性。</w:t>
      </w:r>
      <w:r>
        <w:t>目前我国能源消费和经济发展仍处于长期均衡关系，经济发展的空间结构正在发生深刻变化，中心城市和城市群正在成为承载发展要素的主要空间形式，对区域协调发展提出了新的要求。“十四五”期我国能源政策将以惠民利民为根本宗旨，以满足人民群众美好生活需要为出发点和落脚点，加大民生用能基础设施投入，广东省也坚持控制能耗与服务经济发展相结合，保障新兴产业合理用能和居民生活质量，提高产生的合理用能增长需求，这些因素将有利于河源市制定更有弹性的能源利用政策。</w:t>
      </w:r>
    </w:p>
    <w:p>
      <w:pPr>
        <w:ind w:firstLine="640"/>
      </w:pPr>
      <w:bookmarkStart w:id="28" w:name="_Toc75360369"/>
      <w:r>
        <w:t>——</w:t>
      </w:r>
      <w:r>
        <w:rPr>
          <w:b/>
        </w:rPr>
        <w:t>绿色发展主路线为节能工作提供战略导向</w:t>
      </w:r>
      <w:bookmarkEnd w:id="28"/>
      <w:r>
        <w:rPr>
          <w:b/>
        </w:rPr>
        <w:t>。</w:t>
      </w:r>
      <w:r>
        <w:t>推动绿色发展，深入实施可持续发展战略，促进经济社会发展全面绿色转型，是我国进入新阶段发展</w:t>
      </w:r>
      <w:r>
        <w:rPr>
          <w:szCs w:val="32"/>
        </w:rPr>
        <w:t>蓝图的重要内容。</w:t>
      </w:r>
      <w:r>
        <w:t>按照“双碳”战略部署，“十四五”时期我国将继续</w:t>
      </w:r>
      <w:r>
        <w:rPr>
          <w:szCs w:val="32"/>
        </w:rPr>
        <w:t>推进能源生产和消费革命，</w:t>
      </w:r>
      <w:r>
        <w:t>大力培育绿色新动能</w:t>
      </w:r>
      <w:r>
        <w:rPr>
          <w:szCs w:val="32"/>
        </w:rPr>
        <w:t>。着眼区域发展，广东也将“打造新发展格局的战略支点”列入“十四五”时期必须把握好的重大问题，其中绿色发展作为广东常抓不懈重点工作之一，在未来五年将有着“更高水平”的目标要求。在顶层绿色发展路线指引下，</w:t>
      </w:r>
      <w:r>
        <w:t>河源市的节能工作战略方向将更加明晰。</w:t>
      </w:r>
    </w:p>
    <w:p>
      <w:pPr>
        <w:ind w:firstLine="640"/>
      </w:pPr>
      <w:r>
        <w:t>——</w:t>
      </w:r>
      <w:r>
        <w:rPr>
          <w:b/>
        </w:rPr>
        <w:t>技术进步为挖潜节能空间提供抓手。</w:t>
      </w:r>
      <w:r>
        <w:t>随着《中国制造2025》和《能源技术革命创新行动计划》的实施，分布式能源、电力储能、工业节能、建筑节能、交通节能、智能电网及能源互联网等关键能源技术正逐步实现突破。广东省能源科技和产业发展步伐加快，建立“1+4”先进能源科学与技术省实验室，进一步提高能源领域核心技术和节能环保装备研发能力和水平，引导和支持重点用能单位开展技能技术改造。这些因素将有利于推动绿色制造技术在河源市的广泛应用，成为节能潜力变成现实的节能量的主要抓手。</w:t>
      </w:r>
    </w:p>
    <w:p>
      <w:pPr>
        <w:pStyle w:val="5"/>
        <w:ind w:firstLine="0" w:firstLineChars="0"/>
        <w:jc w:val="center"/>
        <w:rPr>
          <w:rFonts w:ascii="Times New Roman" w:hAnsi="Times New Roman" w:cs="Times New Roman"/>
        </w:rPr>
      </w:pPr>
      <w:bookmarkStart w:id="29" w:name="_Toc106032993"/>
      <w:r>
        <w:rPr>
          <w:rFonts w:hint="eastAsia" w:ascii="Times New Roman" w:hAnsi="Times New Roman" w:cs="Times New Roman"/>
        </w:rPr>
        <w:t xml:space="preserve">第二节 </w:t>
      </w:r>
      <w:r>
        <w:rPr>
          <w:rFonts w:ascii="Times New Roman" w:hAnsi="Times New Roman" w:cs="Times New Roman"/>
        </w:rPr>
        <w:t xml:space="preserve"> 制约挑战</w:t>
      </w:r>
      <w:bookmarkEnd w:id="29"/>
    </w:p>
    <w:p>
      <w:pPr>
        <w:ind w:firstLine="640"/>
      </w:pPr>
      <w:r>
        <w:t>河源市产业结构虽以第三产</w:t>
      </w:r>
      <w:r>
        <w:rPr>
          <w:szCs w:val="32"/>
        </w:rPr>
        <w:t>业为主，但能耗结构仍以工业为主，随着高耗能工业和非工业的能源消费总量持续增加，能耗强度不降反升的风险日益加大，资源环境约束、结构性、体制机制性等深层次矛盾仍然存在。</w:t>
      </w:r>
    </w:p>
    <w:p>
      <w:pPr>
        <w:ind w:firstLine="640"/>
      </w:pPr>
      <w:r>
        <w:t>——</w:t>
      </w:r>
      <w:r>
        <w:rPr>
          <w:b/>
        </w:rPr>
        <w:t>产业结构调整面临较大压力。</w:t>
      </w:r>
      <w:r>
        <w:t>河源市经济结构优化调整任务艰巨，现代产业体系建设任重道远，</w:t>
      </w:r>
      <w:r>
        <w:rPr>
          <w:szCs w:val="32"/>
        </w:rPr>
        <w:t>传统产业转型升级仍需持续发力</w:t>
      </w:r>
      <w:r>
        <w:t>，新兴产业尚未完全挑起大梁，先进制造业与现代服务业深度融合、构建多点支撑的产业体系仍面临较大压力。随着经济形势</w:t>
      </w:r>
      <w:r>
        <w:rPr>
          <w:szCs w:val="32"/>
        </w:rPr>
        <w:t>从2020年的低谷逐步复苏，国内外市场需求快速增长，河源市原有以加工业和服务业为主导的产业结构将引发能耗的反弹甚至快速增长，但其偏向粗放型的产业结构定位决定了其增加</w:t>
      </w:r>
      <w:r>
        <w:t>值增长水平难以赶上能耗的增长水平，容易导致工业和服务业的能耗强度的不降反升。</w:t>
      </w:r>
    </w:p>
    <w:p>
      <w:pPr>
        <w:ind w:firstLine="640"/>
      </w:pPr>
      <w:r>
        <w:t>——</w:t>
      </w:r>
      <w:r>
        <w:rPr>
          <w:b/>
        </w:rPr>
        <w:t>工业节能挖潜空间收窄。</w:t>
      </w:r>
      <w:r>
        <w:t>经过“十三五”期河源市强化能源需求侧管理、重点领域和企业节能管理、完善节能支持政策和服务等多项举措实施，工业领域节能降耗及绿色制造体系建设工作</w:t>
      </w:r>
      <w:r>
        <w:rPr>
          <w:szCs w:val="32"/>
        </w:rPr>
        <w:t>取得成效，且其节能产生的经济效益还未达到其改造成本，进一步实施升级改造的困难更大。此外，全市通过强化环境管理严格执法监管，严格落实产能整合、惩罚性电价等政策，淘汰类、限制类工业企业落后产能空间不断缩窄，后续通过淘汰落后产能实现节能效果将明显缩小。河源市亟需对高耗能、规模以下工业和数据中心等非工业领域的节能潜力进一步扩展思路、深度挖潜。另一方面，全市节能工作进入深度节能阶段，特别是伴随着经济下行、产业结构调整压力、能源价格低位运行、产品价格竞争加剧，企业主动开展节能减排的意愿</w:t>
      </w:r>
      <w:r>
        <w:t>不断下降，导致企业对节能的投入减少，节能挖潜空间持续收窄，政府财政负担和企业成本越来越高。</w:t>
      </w:r>
    </w:p>
    <w:p>
      <w:pPr>
        <w:ind w:firstLine="640"/>
        <w:rPr>
          <w:sz w:val="28"/>
          <w:szCs w:val="32"/>
        </w:rPr>
      </w:pPr>
      <w:r>
        <w:t>——</w:t>
      </w:r>
      <w:r>
        <w:rPr>
          <w:b/>
        </w:rPr>
        <w:t>城镇化提速加重节能任务。</w:t>
      </w:r>
      <w:r>
        <w:t>随着工业化、城镇化进程加快和消费结构</w:t>
      </w:r>
      <w:r>
        <w:rPr>
          <w:szCs w:val="32"/>
        </w:rPr>
        <w:t>持续升级，河源经济水平逐步提升，居民收入及消费水平不断提高，在人口总量增长、居住水平持续提高的共同作用下人均能源消费量仍将呈现升高趋势，电商经济的日趋旺盛导致服务业能耗持续保持刚性增长，但在电商的增加值统计不属于本地情况下，也容易导致服务业能耗强度的不降反升。“十四五”期间，5G基站、城际高速铁路和城市轨道交通、大数据、人工智能等非工业行业将显著引导大量需求侧消费，建筑、交</w:t>
      </w:r>
      <w:r>
        <w:t>通、公共机构等重点领域节能技术应用和管理水平亟需加强指引。</w:t>
      </w:r>
    </w:p>
    <w:p>
      <w:pPr>
        <w:spacing w:line="600" w:lineRule="exact"/>
        <w:ind w:firstLine="560"/>
        <w:rPr>
          <w:sz w:val="28"/>
          <w:szCs w:val="32"/>
        </w:rPr>
        <w:sectPr>
          <w:pgSz w:w="11906" w:h="16838"/>
          <w:pgMar w:top="1440" w:right="1800" w:bottom="1440" w:left="1800" w:header="851" w:footer="992" w:gutter="0"/>
          <w:cols w:space="425" w:num="1"/>
          <w:docGrid w:type="lines" w:linePitch="312" w:charSpace="0"/>
        </w:sectPr>
      </w:pPr>
    </w:p>
    <w:p>
      <w:pPr>
        <w:pStyle w:val="3"/>
        <w:jc w:val="center"/>
        <w:rPr>
          <w:rFonts w:ascii="Times New Roman" w:hAnsi="Times New Roman"/>
          <w:color w:val="auto"/>
        </w:rPr>
      </w:pPr>
      <w:bookmarkStart w:id="30" w:name="_Toc106032994"/>
      <w:r>
        <w:rPr>
          <w:rFonts w:ascii="Times New Roman" w:hAnsi="Times New Roman"/>
          <w:color w:val="auto"/>
        </w:rPr>
        <w:t>第三章</w:t>
      </w:r>
      <w:r>
        <w:rPr>
          <w:rFonts w:hint="eastAsia" w:ascii="Times New Roman" w:hAnsi="Times New Roman"/>
          <w:color w:val="auto"/>
        </w:rPr>
        <w:t xml:space="preserve"> </w:t>
      </w:r>
      <w:r>
        <w:rPr>
          <w:rFonts w:ascii="Times New Roman" w:hAnsi="Times New Roman"/>
          <w:color w:val="auto"/>
        </w:rPr>
        <w:t xml:space="preserve"> 指导思想、基本原则和节能目标</w:t>
      </w:r>
      <w:bookmarkEnd w:id="30"/>
    </w:p>
    <w:p>
      <w:pPr>
        <w:pStyle w:val="5"/>
        <w:ind w:firstLine="0" w:firstLineChars="0"/>
        <w:jc w:val="center"/>
        <w:rPr>
          <w:rFonts w:ascii="Times New Roman" w:hAnsi="Times New Roman" w:cs="Times New Roman"/>
        </w:rPr>
      </w:pPr>
      <w:bookmarkStart w:id="31" w:name="_Toc106032995"/>
      <w:r>
        <w:rPr>
          <w:rFonts w:hint="eastAsia" w:ascii="Times New Roman" w:hAnsi="Times New Roman" w:cs="Times New Roman"/>
        </w:rPr>
        <w:t xml:space="preserve">第一节 </w:t>
      </w:r>
      <w:r>
        <w:rPr>
          <w:rFonts w:ascii="Times New Roman" w:hAnsi="Times New Roman" w:cs="Times New Roman"/>
        </w:rPr>
        <w:t xml:space="preserve"> 指导思想</w:t>
      </w:r>
      <w:bookmarkEnd w:id="31"/>
    </w:p>
    <w:p>
      <w:pPr>
        <w:ind w:firstLine="640"/>
        <w:rPr>
          <w:b/>
          <w:bCs/>
          <w:szCs w:val="32"/>
        </w:rPr>
      </w:pPr>
      <w:r>
        <w:rPr>
          <w:szCs w:val="32"/>
        </w:rPr>
        <w:t>全面贯彻落实党的十九大和十九届历次全会精神，统筹推进“五位一体”总体布局，协调推进“四个全面”战略布局，立足新发展阶段、贯彻新发展理念、构建新发展格局、推动高质量发展</w:t>
      </w:r>
      <w:r>
        <w:t>，全面落实节约能源的基本国策，紧密结合粤港澳大湾区建设、支持深圳建设中国特色社会主义先行示范区和“一核一带一区”区域发展新格</w:t>
      </w:r>
      <w:r>
        <w:rPr>
          <w:szCs w:val="32"/>
        </w:rPr>
        <w:t>局，紧紧围绕碳达峰、资源能源利用效率和绿色发展水平提升目标，全面推进能源消费强度和总量双控管理、科学配置、全面节约、循环利用，探索开展用能预算管理，以优化产业结构、能源结构为方向，以加快提升工业能效水平为重点，着力推进重点行业和重要领域绿色化改造，加强先进技术、工艺、装备推广应用，同时加快推进在建筑、交通、公共机构领域节能工作，培育节约能源和绿色生产生活方式，加快能源节约型社会形成，确保完成广东省下达的节能目标任务，</w:t>
      </w:r>
      <w:r>
        <w:rPr>
          <w:b/>
          <w:bCs/>
          <w:szCs w:val="32"/>
        </w:rPr>
        <w:t>奋力推动“建设幸福和谐美丽河源”新发展局面。</w:t>
      </w:r>
    </w:p>
    <w:p>
      <w:pPr>
        <w:pStyle w:val="5"/>
        <w:ind w:firstLine="0" w:firstLineChars="0"/>
        <w:jc w:val="center"/>
        <w:rPr>
          <w:rFonts w:ascii="Times New Roman" w:hAnsi="Times New Roman" w:cs="Times New Roman"/>
        </w:rPr>
      </w:pPr>
      <w:bookmarkStart w:id="32" w:name="_Toc106032996"/>
      <w:r>
        <w:rPr>
          <w:rFonts w:hint="eastAsia" w:ascii="Times New Roman" w:hAnsi="Times New Roman" w:cs="Times New Roman"/>
        </w:rPr>
        <w:t xml:space="preserve">第二节 </w:t>
      </w:r>
      <w:r>
        <w:rPr>
          <w:rFonts w:ascii="Times New Roman" w:hAnsi="Times New Roman" w:cs="Times New Roman"/>
        </w:rPr>
        <w:t xml:space="preserve"> 基本原则</w:t>
      </w:r>
      <w:bookmarkEnd w:id="32"/>
    </w:p>
    <w:p>
      <w:pPr>
        <w:ind w:firstLine="640"/>
        <w:rPr>
          <w:szCs w:val="32"/>
        </w:rPr>
      </w:pPr>
      <w:r>
        <w:t>——政府引导，市场推动。制</w:t>
      </w:r>
      <w:r>
        <w:rPr>
          <w:szCs w:val="32"/>
        </w:rPr>
        <w:t>定和健全节能减排法规标准，完善有利于节能的政策措施，利用好已有节能管理平台，强化主体责任。充分发挥市场配置</w:t>
      </w:r>
      <w:r>
        <w:t>资源的基础性作用和财政资金的引导带动作用，培育新的节能服务模式和市场，积极发展节能环保产业，增强用能单位和公民自觉节能的内生动力。</w:t>
      </w:r>
    </w:p>
    <w:p>
      <w:pPr>
        <w:ind w:firstLine="640"/>
        <w:rPr>
          <w:szCs w:val="32"/>
        </w:rPr>
      </w:pPr>
      <w:r>
        <w:rPr>
          <w:szCs w:val="32"/>
        </w:rPr>
        <w:t>——绿色发展，优化结构。加快推进产业聚集及绿色化园区建设，带动聚集区产业链绿色升级转型；促进产业结构优化和升级，加快发展先进制造业，引导传统产业企业推进高效化、智能化、标准化改造；大力发展第三产业，提高服务业国民经济占比，不断提高产业绿色化水平，建立低能耗高效益的产业发展体系。大力发展节能环保产业，有效推动产业绿色化发展。</w:t>
      </w:r>
    </w:p>
    <w:p>
      <w:pPr>
        <w:ind w:firstLine="640"/>
        <w:rPr>
          <w:szCs w:val="32"/>
        </w:rPr>
      </w:pPr>
      <w:r>
        <w:rPr>
          <w:szCs w:val="32"/>
        </w:rPr>
        <w:t>——突出重点，全面推进。突出重点，系统推进。以工业节能为重点，落实重点耗能行业节能监管，明确节能目标与措施；协同推进工业、交通、建筑等领域重点节能工作。大力推进新基建节能，加强绿色生活创建。大力宣传节能，提高全民节能意识，全面推进全社会节能低碳工作开展。</w:t>
      </w:r>
    </w:p>
    <w:p>
      <w:pPr>
        <w:ind w:firstLine="640"/>
      </w:pPr>
      <w:r>
        <w:rPr>
          <w:szCs w:val="32"/>
        </w:rPr>
        <w:t>——科技引领，创新驱动。加快节能技术创新、管理创新和制度创新；强化科技创新引领作用，支持研发拥有自主知识产权的节能减排关键核心技术，提升节能减排技术产品的实际效果和综合效益；发展新基建与智慧能源，开拓能源节约新思路；融合“双区”创新基地，立足区位优势，引进、吸收、推广节能技术和设备示范应</w:t>
      </w:r>
      <w:r>
        <w:t>用，为生态文明建设提供强大的技术支撑。</w:t>
      </w:r>
    </w:p>
    <w:p>
      <w:pPr>
        <w:pStyle w:val="5"/>
        <w:ind w:firstLine="0" w:firstLineChars="0"/>
        <w:jc w:val="center"/>
        <w:rPr>
          <w:rFonts w:ascii="Times New Roman" w:hAnsi="Times New Roman" w:cs="Times New Roman"/>
        </w:rPr>
      </w:pPr>
      <w:bookmarkStart w:id="33" w:name="_Toc106032997"/>
      <w:r>
        <w:rPr>
          <w:rFonts w:ascii="Times New Roman" w:hAnsi="Times New Roman" w:cs="Times New Roman"/>
        </w:rPr>
        <w:t>第三节</w:t>
      </w:r>
      <w:r>
        <w:rPr>
          <w:rFonts w:hint="eastAsia" w:ascii="Times New Roman" w:hAnsi="Times New Roman" w:cs="Times New Roman"/>
        </w:rPr>
        <w:t xml:space="preserve"> </w:t>
      </w:r>
      <w:r>
        <w:rPr>
          <w:rFonts w:ascii="Times New Roman" w:hAnsi="Times New Roman" w:cs="Times New Roman"/>
        </w:rPr>
        <w:t xml:space="preserve"> 节能目标</w:t>
      </w:r>
      <w:bookmarkEnd w:id="33"/>
    </w:p>
    <w:p>
      <w:pPr>
        <w:ind w:firstLine="640"/>
        <w:rPr>
          <w:szCs w:val="32"/>
        </w:rPr>
      </w:pPr>
      <w:r>
        <w:rPr>
          <w:szCs w:val="32"/>
        </w:rPr>
        <w:t>实现全市能耗下降，高质量完成广东省下达的各项指标任务。根据《河源市国民经济和社会发展第十四个五年规划和2035年远景目标纲要》，河源市“十四五”GDP经济发展目标年均增速为7%，到2025年，国内生产总值力争达到1550亿元（2020年价）。节能目标按能源消费总量年均增速</w:t>
      </w:r>
      <w:r>
        <w:rPr>
          <w:rFonts w:hint="eastAsia"/>
          <w:szCs w:val="32"/>
          <w:lang w:eastAsia="zh-CN"/>
        </w:rPr>
        <w:t>（参照</w:t>
      </w:r>
      <w:r>
        <w:rPr>
          <w:szCs w:val="32"/>
        </w:rPr>
        <w:t>市能源规划</w:t>
      </w:r>
      <w:r>
        <w:rPr>
          <w:rFonts w:hint="eastAsia"/>
          <w:szCs w:val="32"/>
          <w:lang w:eastAsia="zh-CN"/>
        </w:rPr>
        <w:t>）</w:t>
      </w:r>
      <w:r>
        <w:rPr>
          <w:szCs w:val="32"/>
        </w:rPr>
        <w:t>设定</w:t>
      </w:r>
      <w:r>
        <w:rPr>
          <w:rFonts w:hint="eastAsia"/>
          <w:szCs w:val="32"/>
          <w:lang w:eastAsia="zh-CN"/>
        </w:rPr>
        <w:t>以</w:t>
      </w:r>
      <w:r>
        <w:rPr>
          <w:szCs w:val="32"/>
        </w:rPr>
        <w:t>下方案：</w:t>
      </w:r>
      <w:bookmarkStart w:id="118" w:name="_GoBack"/>
      <w:bookmarkEnd w:id="118"/>
    </w:p>
    <w:p>
      <w:pPr>
        <w:ind w:firstLine="640"/>
        <w:rPr>
          <w:szCs w:val="32"/>
        </w:rPr>
      </w:pPr>
      <w:r>
        <w:rPr>
          <w:szCs w:val="32"/>
        </w:rPr>
        <w:t>设定“十四五”全市能源消费总量年均增速为5.1%（与市能源规划一致），2025年能源消费总量为512万吨标准煤，新增能源消费113万吨标准煤；单位GDP能耗较2020年下降8.5%，年均下降率1.76%。</w:t>
      </w:r>
    </w:p>
    <w:p>
      <w:pPr>
        <w:ind w:firstLine="562"/>
        <w:rPr>
          <w:sz w:val="28"/>
          <w:szCs w:val="28"/>
        </w:rPr>
      </w:pPr>
      <w:r>
        <w:rPr>
          <w:b/>
          <w:bCs/>
          <w:sz w:val="28"/>
          <w:szCs w:val="28"/>
        </w:rPr>
        <w:t>表3-1  河源市“十四五”节能目标</w:t>
      </w:r>
    </w:p>
    <w:tbl>
      <w:tblPr>
        <w:tblStyle w:val="16"/>
        <w:tblW w:w="8522" w:type="dxa"/>
        <w:jc w:val="center"/>
        <w:tblInd w:w="0" w:type="dxa"/>
        <w:tblLayout w:type="fixed"/>
        <w:tblCellMar>
          <w:top w:w="0" w:type="dxa"/>
          <w:left w:w="108" w:type="dxa"/>
          <w:bottom w:w="0" w:type="dxa"/>
          <w:right w:w="108" w:type="dxa"/>
        </w:tblCellMar>
      </w:tblPr>
      <w:tblGrid>
        <w:gridCol w:w="1668"/>
        <w:gridCol w:w="796"/>
        <w:gridCol w:w="906"/>
        <w:gridCol w:w="1919"/>
        <w:gridCol w:w="1320"/>
        <w:gridCol w:w="1913"/>
      </w:tblGrid>
      <w:tr>
        <w:tblPrEx>
          <w:tblLayout w:type="fixed"/>
          <w:tblCellMar>
            <w:top w:w="0" w:type="dxa"/>
            <w:left w:w="108" w:type="dxa"/>
            <w:bottom w:w="0" w:type="dxa"/>
            <w:right w:w="108" w:type="dxa"/>
          </w:tblCellMar>
        </w:tblPrEx>
        <w:trPr>
          <w:trHeight w:val="240" w:hRule="atLeast"/>
          <w:jc w:val="center"/>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b/>
                <w:bCs/>
                <w:kern w:val="0"/>
                <w:sz w:val="24"/>
              </w:rPr>
            </w:pPr>
            <w:r>
              <w:rPr>
                <w:b/>
                <w:bCs/>
                <w:kern w:val="0"/>
                <w:sz w:val="24"/>
              </w:rPr>
              <w:t>指标</w:t>
            </w:r>
          </w:p>
        </w:tc>
        <w:tc>
          <w:tcPr>
            <w:tcW w:w="79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b/>
                <w:bCs/>
                <w:kern w:val="0"/>
                <w:sz w:val="24"/>
              </w:rPr>
            </w:pPr>
            <w:r>
              <w:rPr>
                <w:b/>
                <w:bCs/>
                <w:kern w:val="0"/>
                <w:sz w:val="24"/>
              </w:rPr>
              <w:t>单位</w:t>
            </w:r>
          </w:p>
        </w:tc>
        <w:tc>
          <w:tcPr>
            <w:tcW w:w="90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kern w:val="0"/>
                <w:sz w:val="24"/>
              </w:rPr>
            </w:pPr>
            <w:r>
              <w:rPr>
                <w:b/>
                <w:bCs/>
                <w:kern w:val="0"/>
                <w:sz w:val="24"/>
              </w:rPr>
              <w:t>2020年</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kern w:val="0"/>
                <w:sz w:val="24"/>
              </w:rPr>
            </w:pPr>
            <w:r>
              <w:rPr>
                <w:b/>
                <w:bCs/>
                <w:kern w:val="0"/>
                <w:sz w:val="24"/>
              </w:rPr>
              <w:t>“十三五”年均增速/“十三五”增量</w:t>
            </w:r>
          </w:p>
        </w:tc>
        <w:tc>
          <w:tcPr>
            <w:tcW w:w="13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kern w:val="0"/>
                <w:sz w:val="24"/>
              </w:rPr>
            </w:pPr>
            <w:r>
              <w:rPr>
                <w:b/>
                <w:bCs/>
                <w:kern w:val="0"/>
                <w:sz w:val="24"/>
              </w:rPr>
              <w:t>2025年（2020年价）</w:t>
            </w:r>
          </w:p>
        </w:tc>
        <w:tc>
          <w:tcPr>
            <w:tcW w:w="191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b/>
                <w:bCs/>
                <w:kern w:val="0"/>
                <w:sz w:val="24"/>
              </w:rPr>
            </w:pPr>
            <w:r>
              <w:rPr>
                <w:b/>
                <w:bCs/>
                <w:kern w:val="0"/>
                <w:sz w:val="24"/>
              </w:rPr>
              <w:t>“十四五”年均增速/“十四五”增量</w:t>
            </w:r>
          </w:p>
        </w:tc>
      </w:tr>
      <w:tr>
        <w:tblPrEx>
          <w:tblLayout w:type="fixed"/>
          <w:tblCellMar>
            <w:top w:w="0" w:type="dxa"/>
            <w:left w:w="108" w:type="dxa"/>
            <w:bottom w:w="0" w:type="dxa"/>
            <w:right w:w="108" w:type="dxa"/>
          </w:tblCellMar>
        </w:tblPrEx>
        <w:trPr>
          <w:trHeight w:val="637"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b/>
                <w:bCs/>
                <w:kern w:val="0"/>
                <w:sz w:val="24"/>
              </w:rPr>
            </w:pPr>
            <w:r>
              <w:rPr>
                <w:rFonts w:eastAsia="宋体"/>
                <w:b/>
                <w:bCs/>
                <w:kern w:val="0"/>
                <w:sz w:val="24"/>
              </w:rPr>
              <w:t>GDP</w:t>
            </w:r>
          </w:p>
        </w:tc>
        <w:tc>
          <w:tcPr>
            <w:tcW w:w="7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kern w:val="0"/>
                <w:sz w:val="24"/>
              </w:rPr>
            </w:pPr>
            <w:r>
              <w:rPr>
                <w:kern w:val="0"/>
                <w:sz w:val="24"/>
              </w:rPr>
              <w:t>亿元</w:t>
            </w:r>
          </w:p>
        </w:tc>
        <w:tc>
          <w:tcPr>
            <w:tcW w:w="90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r>
              <w:rPr>
                <w:sz w:val="24"/>
              </w:rPr>
              <w:t>1103</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r>
              <w:rPr>
                <w:sz w:val="24"/>
              </w:rPr>
              <w:t>5.20</w:t>
            </w:r>
          </w:p>
        </w:tc>
        <w:tc>
          <w:tcPr>
            <w:tcW w:w="13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r>
              <w:rPr>
                <w:sz w:val="24"/>
              </w:rPr>
              <w:t>1550</w:t>
            </w:r>
          </w:p>
        </w:tc>
        <w:tc>
          <w:tcPr>
            <w:tcW w:w="191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r>
              <w:rPr>
                <w:sz w:val="24"/>
              </w:rPr>
              <w:t>7.0</w:t>
            </w:r>
          </w:p>
        </w:tc>
      </w:tr>
      <w:tr>
        <w:tblPrEx>
          <w:tblLayout w:type="fixed"/>
          <w:tblCellMar>
            <w:top w:w="0" w:type="dxa"/>
            <w:left w:w="108" w:type="dxa"/>
            <w:bottom w:w="0" w:type="dxa"/>
            <w:right w:w="108" w:type="dxa"/>
          </w:tblCellMar>
        </w:tblPrEx>
        <w:trPr>
          <w:trHeight w:val="137"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b/>
                <w:bCs/>
                <w:kern w:val="0"/>
                <w:sz w:val="24"/>
              </w:rPr>
            </w:pPr>
            <w:bookmarkStart w:id="34" w:name="RANGE!C70"/>
            <w:r>
              <w:rPr>
                <w:b/>
                <w:bCs/>
                <w:kern w:val="0"/>
                <w:sz w:val="24"/>
              </w:rPr>
              <w:t>能源消费总量</w:t>
            </w:r>
            <w:bookmarkEnd w:id="34"/>
          </w:p>
        </w:tc>
        <w:tc>
          <w:tcPr>
            <w:tcW w:w="7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kern w:val="0"/>
                <w:sz w:val="24"/>
              </w:rPr>
            </w:pPr>
            <w:bookmarkStart w:id="35" w:name="RANGE!D70"/>
            <w:r>
              <w:rPr>
                <w:kern w:val="0"/>
                <w:sz w:val="24"/>
              </w:rPr>
              <w:t>万吨标煤</w:t>
            </w:r>
            <w:bookmarkEnd w:id="35"/>
          </w:p>
        </w:tc>
        <w:tc>
          <w:tcPr>
            <w:tcW w:w="90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r>
              <w:rPr>
                <w:sz w:val="24"/>
              </w:rPr>
              <w:t>399.27</w:t>
            </w:r>
          </w:p>
        </w:tc>
        <w:tc>
          <w:tcPr>
            <w:tcW w:w="191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sz w:val="24"/>
              </w:rPr>
            </w:pPr>
            <w:r>
              <w:rPr>
                <w:sz w:val="24"/>
              </w:rPr>
              <w:t>1.70（32）</w:t>
            </w:r>
          </w:p>
        </w:tc>
        <w:tc>
          <w:tcPr>
            <w:tcW w:w="13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r>
              <w:rPr>
                <w:sz w:val="24"/>
              </w:rPr>
              <w:t>512</w:t>
            </w:r>
          </w:p>
        </w:tc>
        <w:tc>
          <w:tcPr>
            <w:tcW w:w="191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sz w:val="24"/>
              </w:rPr>
            </w:pPr>
            <w:r>
              <w:rPr>
                <w:sz w:val="24"/>
              </w:rPr>
              <w:t>5.1（113）</w:t>
            </w:r>
          </w:p>
        </w:tc>
      </w:tr>
      <w:tr>
        <w:tblPrEx>
          <w:tblLayout w:type="fixed"/>
          <w:tblCellMar>
            <w:top w:w="0" w:type="dxa"/>
            <w:left w:w="108" w:type="dxa"/>
            <w:bottom w:w="0" w:type="dxa"/>
            <w:right w:w="108" w:type="dxa"/>
          </w:tblCellMar>
        </w:tblPrEx>
        <w:trPr>
          <w:trHeight w:val="2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b/>
                <w:bCs/>
                <w:kern w:val="0"/>
                <w:sz w:val="24"/>
              </w:rPr>
            </w:pPr>
            <w:r>
              <w:rPr>
                <w:b/>
                <w:bCs/>
                <w:kern w:val="0"/>
                <w:sz w:val="24"/>
              </w:rPr>
              <w:t>单位</w:t>
            </w:r>
            <w:r>
              <w:rPr>
                <w:rFonts w:eastAsia="宋体"/>
                <w:b/>
                <w:bCs/>
                <w:kern w:val="0"/>
                <w:sz w:val="24"/>
              </w:rPr>
              <w:t>GDP</w:t>
            </w:r>
            <w:r>
              <w:rPr>
                <w:b/>
                <w:bCs/>
                <w:kern w:val="0"/>
                <w:sz w:val="24"/>
              </w:rPr>
              <w:t>能耗累计下降</w:t>
            </w:r>
          </w:p>
        </w:tc>
        <w:tc>
          <w:tcPr>
            <w:tcW w:w="7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kern w:val="0"/>
                <w:sz w:val="24"/>
              </w:rPr>
            </w:pPr>
            <w:r>
              <w:rPr>
                <w:kern w:val="0"/>
                <w:sz w:val="24"/>
              </w:rPr>
              <w:t>%</w:t>
            </w:r>
          </w:p>
        </w:tc>
        <w:tc>
          <w:tcPr>
            <w:tcW w:w="906" w:type="dxa"/>
            <w:tcBorders>
              <w:top w:val="nil"/>
              <w:left w:val="nil"/>
              <w:bottom w:val="nil"/>
              <w:right w:val="nil"/>
            </w:tcBorders>
            <w:shd w:val="clear" w:color="auto" w:fill="auto"/>
            <w:noWrap/>
            <w:vAlign w:val="center"/>
          </w:tcPr>
          <w:p>
            <w:pPr>
              <w:widowControl/>
              <w:spacing w:line="240" w:lineRule="auto"/>
              <w:ind w:firstLine="0" w:firstLineChars="0"/>
              <w:jc w:val="center"/>
              <w:rPr>
                <w:sz w:val="24"/>
              </w:rPr>
            </w:pPr>
          </w:p>
        </w:tc>
        <w:tc>
          <w:tcPr>
            <w:tcW w:w="191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r>
              <w:rPr>
                <w:sz w:val="24"/>
              </w:rPr>
              <w:t>16</w:t>
            </w:r>
          </w:p>
        </w:tc>
        <w:tc>
          <w:tcPr>
            <w:tcW w:w="13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p>
        </w:tc>
        <w:tc>
          <w:tcPr>
            <w:tcW w:w="191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sz w:val="24"/>
              </w:rPr>
            </w:pPr>
            <w:r>
              <w:rPr>
                <w:sz w:val="24"/>
              </w:rPr>
              <w:t>8.5</w:t>
            </w:r>
          </w:p>
        </w:tc>
      </w:tr>
      <w:tr>
        <w:tblPrEx>
          <w:tblLayout w:type="fixed"/>
          <w:tblCellMar>
            <w:top w:w="0" w:type="dxa"/>
            <w:left w:w="108" w:type="dxa"/>
            <w:bottom w:w="0" w:type="dxa"/>
            <w:right w:w="108" w:type="dxa"/>
          </w:tblCellMar>
        </w:tblPrEx>
        <w:trPr>
          <w:trHeight w:val="240" w:hRule="atLeast"/>
          <w:jc w:val="center"/>
        </w:trPr>
        <w:tc>
          <w:tcPr>
            <w:tcW w:w="16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b/>
                <w:bCs/>
                <w:kern w:val="0"/>
                <w:sz w:val="24"/>
              </w:rPr>
            </w:pPr>
            <w:r>
              <w:rPr>
                <w:b/>
                <w:bCs/>
                <w:kern w:val="0"/>
                <w:sz w:val="24"/>
              </w:rPr>
              <w:t>单位</w:t>
            </w:r>
            <w:r>
              <w:rPr>
                <w:rFonts w:eastAsia="宋体"/>
                <w:b/>
                <w:bCs/>
                <w:kern w:val="0"/>
                <w:sz w:val="24"/>
              </w:rPr>
              <w:t>GDP</w:t>
            </w:r>
            <w:r>
              <w:rPr>
                <w:b/>
                <w:bCs/>
                <w:kern w:val="0"/>
                <w:sz w:val="24"/>
              </w:rPr>
              <w:t>能耗年均下降</w:t>
            </w:r>
          </w:p>
        </w:tc>
        <w:tc>
          <w:tcPr>
            <w:tcW w:w="79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kern w:val="0"/>
                <w:sz w:val="24"/>
              </w:rPr>
            </w:pPr>
            <w:r>
              <w:rPr>
                <w:kern w:val="0"/>
                <w:sz w:val="24"/>
              </w:rPr>
              <w:t>%</w:t>
            </w:r>
          </w:p>
        </w:tc>
        <w:tc>
          <w:tcPr>
            <w:tcW w:w="90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p>
        </w:tc>
        <w:tc>
          <w:tcPr>
            <w:tcW w:w="1919"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sz w:val="24"/>
              </w:rPr>
            </w:pPr>
            <w:r>
              <w:rPr>
                <w:sz w:val="24"/>
              </w:rPr>
              <w:t>3.43</w:t>
            </w:r>
          </w:p>
        </w:tc>
        <w:tc>
          <w:tcPr>
            <w:tcW w:w="132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sz w:val="24"/>
              </w:rPr>
            </w:pPr>
          </w:p>
        </w:tc>
        <w:tc>
          <w:tcPr>
            <w:tcW w:w="1913"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sz w:val="24"/>
              </w:rPr>
            </w:pPr>
            <w:r>
              <w:rPr>
                <w:sz w:val="24"/>
              </w:rPr>
              <w:t>1.76</w:t>
            </w:r>
          </w:p>
        </w:tc>
      </w:tr>
    </w:tbl>
    <w:p>
      <w:pPr>
        <w:ind w:firstLine="0" w:firstLineChars="0"/>
        <w:jc w:val="center"/>
        <w:rPr>
          <w:sz w:val="28"/>
          <w:szCs w:val="28"/>
        </w:rPr>
      </w:pPr>
    </w:p>
    <w:p>
      <w:pPr>
        <w:ind w:firstLine="640"/>
      </w:pPr>
    </w:p>
    <w:p>
      <w:pPr>
        <w:ind w:firstLine="0" w:firstLineChars="0"/>
        <w:sectPr>
          <w:pgSz w:w="11906" w:h="16838"/>
          <w:pgMar w:top="1440" w:right="1800" w:bottom="1440" w:left="1800" w:header="851" w:footer="992" w:gutter="0"/>
          <w:cols w:space="425" w:num="1"/>
          <w:docGrid w:type="lines" w:linePitch="312" w:charSpace="0"/>
        </w:sectPr>
      </w:pPr>
    </w:p>
    <w:p>
      <w:pPr>
        <w:pStyle w:val="3"/>
        <w:jc w:val="center"/>
        <w:rPr>
          <w:rFonts w:ascii="Times New Roman" w:hAnsi="Times New Roman"/>
          <w:color w:val="auto"/>
        </w:rPr>
      </w:pPr>
      <w:bookmarkStart w:id="36" w:name="_Toc106032998"/>
      <w:r>
        <w:rPr>
          <w:rFonts w:hint="eastAsia" w:ascii="Times New Roman" w:hAnsi="Times New Roman"/>
          <w:color w:val="auto"/>
        </w:rPr>
        <w:t xml:space="preserve">第四章 </w:t>
      </w:r>
      <w:r>
        <w:rPr>
          <w:rFonts w:ascii="Times New Roman" w:hAnsi="Times New Roman"/>
          <w:color w:val="auto"/>
        </w:rPr>
        <w:t xml:space="preserve"> 主要任务和重点工程</w:t>
      </w:r>
      <w:bookmarkEnd w:id="36"/>
    </w:p>
    <w:p>
      <w:pPr>
        <w:pStyle w:val="5"/>
        <w:ind w:firstLine="0" w:firstLineChars="0"/>
        <w:jc w:val="center"/>
        <w:rPr>
          <w:rFonts w:ascii="Times New Roman" w:hAnsi="Times New Roman" w:cs="Times New Roman"/>
        </w:rPr>
      </w:pPr>
      <w:bookmarkStart w:id="37" w:name="_Toc106032999"/>
      <w:bookmarkStart w:id="38" w:name="_Toc101403781"/>
      <w:r>
        <w:rPr>
          <w:rFonts w:hint="eastAsia" w:ascii="Times New Roman" w:hAnsi="Times New Roman" w:cs="Times New Roman"/>
        </w:rPr>
        <w:t xml:space="preserve">第一节 </w:t>
      </w:r>
      <w:r>
        <w:rPr>
          <w:rFonts w:ascii="Times New Roman" w:hAnsi="Times New Roman" w:cs="Times New Roman"/>
        </w:rPr>
        <w:t xml:space="preserve"> 严格落实节能目标监督</w:t>
      </w:r>
      <w:bookmarkEnd w:id="37"/>
      <w:bookmarkEnd w:id="38"/>
    </w:p>
    <w:p>
      <w:pPr>
        <w:ind w:firstLine="640"/>
        <w:rPr>
          <w:szCs w:val="32"/>
        </w:rPr>
      </w:pPr>
      <w:r>
        <w:rPr>
          <w:szCs w:val="32"/>
        </w:rPr>
        <w:t>明确目标分解，将省里下达的“十四五”节能目标具体分解到县区及企业，严格实施目标责任考核追踪强化节能形势分析工作及监测预警，坚持形势分析制度和晴雨表制度，对完成节能目标任务有困难的区域实施重点监控，</w:t>
      </w:r>
      <w:r>
        <w:t>对重点用能单位实行节能目标责任制和节能考核评价制度</w:t>
      </w:r>
      <w:r>
        <w:rPr>
          <w:szCs w:val="32"/>
        </w:rPr>
        <w:t>，确保完成目标任务。 全面梳理在建、拟建、存量"两高"项目，坚决遏制"两高"项目盲目发展。新上"两高"项目的县区，应挖掘相应存量能耗予以对冲，确保不影响能耗强度下降目标完成。对未达到能耗强度下降目标进度要求的地区，实行"两高"项目缓批限批。</w:t>
      </w:r>
    </w:p>
    <w:p>
      <w:pPr>
        <w:pStyle w:val="5"/>
        <w:ind w:firstLine="0" w:firstLineChars="0"/>
        <w:jc w:val="center"/>
        <w:rPr>
          <w:rFonts w:ascii="Times New Roman" w:hAnsi="Times New Roman" w:cs="Times New Roman"/>
        </w:rPr>
      </w:pPr>
      <w:bookmarkStart w:id="39" w:name="_Toc106033000"/>
      <w:bookmarkStart w:id="40" w:name="_Toc101403782"/>
      <w:r>
        <w:rPr>
          <w:rFonts w:hint="eastAsia" w:ascii="Times New Roman" w:hAnsi="Times New Roman" w:cs="Times New Roman"/>
        </w:rPr>
        <w:t xml:space="preserve">第二节 </w:t>
      </w:r>
      <w:r>
        <w:rPr>
          <w:rFonts w:ascii="Times New Roman" w:hAnsi="Times New Roman" w:cs="Times New Roman"/>
        </w:rPr>
        <w:t xml:space="preserve"> 强化能耗双控管理</w:t>
      </w:r>
      <w:bookmarkEnd w:id="39"/>
      <w:bookmarkEnd w:id="40"/>
    </w:p>
    <w:p>
      <w:pPr>
        <w:ind w:firstLine="640"/>
        <w:rPr>
          <w:szCs w:val="32"/>
        </w:rPr>
      </w:pPr>
      <w:r>
        <w:rPr>
          <w:szCs w:val="32"/>
        </w:rPr>
        <w:t>切实发挥节能审查制度的源头把控作用，从源头上提高新建项目能效水平和控制能源消费不合理增长，强化新建项目对能耗双控影响评估和用能指标来源审查。对未落实用能指标、不符合节能要求的项目，节能审查一律不予批准；按月报送年综合能源消费量1000吨标准煤以上项目节能审查情况；充分应用能耗在线监测系统加强对重点用能单位能源变化的监督管理，对存量及在建“两高”项目的节能审查意见进行全面复核，对不符合法律法规要求的项目，严格按要求限期整改或依法依规予以关停；严格控制已办节能审查项目企业用能，对超用能企业相应压减其去年超产能部分相应能耗。</w:t>
      </w:r>
    </w:p>
    <w:p>
      <w:pPr>
        <w:pStyle w:val="2"/>
        <w:ind w:firstLine="640"/>
        <w:rPr>
          <w:rFonts w:ascii="Times New Roman" w:hAnsi="Times New Roman"/>
        </w:rPr>
      </w:pPr>
      <w:r>
        <w:rPr>
          <w:rFonts w:ascii="Times New Roman" w:hAnsi="Times New Roman"/>
          <w:sz w:val="32"/>
          <w:szCs w:val="32"/>
        </w:rPr>
        <w:t>明确重点用能单位合法用能额度和能耗强度指标，加强节能目标责任考核。加快市级能源管理系统升级改造，推进全市重点用能单位数据接入省、市重点用能单位能耗在线监测平台。严格执行能源利用状况报告制度，加强重点用能单位能源计量器具的配备和管理，建立健全能源管理体系和能源计量体系，推动重点用能单位持续提高能效水平。各县区每季度统计上报辖区重点用能单位用能情况，确保“千万”重点用能单位完成年度节能目标。</w:t>
      </w:r>
    </w:p>
    <w:p>
      <w:pPr>
        <w:ind w:firstLine="640"/>
        <w:rPr>
          <w:szCs w:val="32"/>
        </w:rPr>
      </w:pPr>
      <w:r>
        <w:rPr>
          <w:szCs w:val="32"/>
        </w:rPr>
        <w:t>编制新增用能需求较大的产业规划、能源规划以及制定重大政策、布局重大项目时，应与能耗双控目标任务充分做好衔接，按照目标任务倒推项目用能空间。对标“十四五”能耗强度下降约束性目标开展用能预算管理，建立市、县二级用能预算管理机制，以用能预算引导合理能源消费，根据能耗强度目标完成情况、经济增速预期变化等动态调整各领域用能预算指标，优先保障居民生活、高技术产业、先进制造业和现代服务业用能需求。探索区域节能工作机制，将节能工作与河源的支柱产业和产业结构优化联动起来。严格落实省、市有关碳达峰碳中和工作部署，将能耗双控工作作为实现碳达峰碳中和目标、促进高质量发展的重要途径和关键措施，确保低碳与节能工作有机结合、同步推进。</w:t>
      </w:r>
    </w:p>
    <w:p>
      <w:pPr>
        <w:pStyle w:val="5"/>
        <w:ind w:firstLine="0" w:firstLineChars="0"/>
        <w:jc w:val="center"/>
        <w:rPr>
          <w:rFonts w:ascii="Times New Roman" w:hAnsi="Times New Roman" w:cs="Times New Roman"/>
        </w:rPr>
      </w:pPr>
      <w:bookmarkStart w:id="41" w:name="_Toc106033001"/>
      <w:r>
        <w:rPr>
          <w:rFonts w:hint="eastAsia" w:ascii="Times New Roman" w:hAnsi="Times New Roman" w:cs="Times New Roman"/>
        </w:rPr>
        <w:t xml:space="preserve">第三节 </w:t>
      </w:r>
      <w:r>
        <w:rPr>
          <w:rFonts w:ascii="Times New Roman" w:hAnsi="Times New Roman" w:cs="Times New Roman"/>
        </w:rPr>
        <w:t xml:space="preserve"> 推动产业结构转型升级</w:t>
      </w:r>
      <w:bookmarkEnd w:id="41"/>
    </w:p>
    <w:p>
      <w:pPr>
        <w:ind w:firstLine="640"/>
      </w:pPr>
      <w:r>
        <w:rPr>
          <w:szCs w:val="32"/>
        </w:rPr>
        <w:t>抓好项目引进源头管理，新上项目统筹考虑项目对当地整体能耗指标完成的影响，强化节能低碳约束指标。重点支持引进新一代信息技术、高端装备制造、生物医药、新能源、节能环保、新材料、水和食品产业等低能耗高附加值的新兴产业。增强战略性新兴产业的资源要素集聚能力，能耗指标优先保障低能耗高附加值的项目，坚决淘汰重点耗能行业落后产能，加大落后和过剩产能压减力度，对于行业产能已经饱和的"两高"项目，原则上仅支持市域内产能和能耗减量替代，以钢铁、水泥、有色、铸造等高能耗行业为重点，鼓励企业采用先进的工艺技术设备，实施智能化改造，通过淘汰落后产能的各项政策措施，倒逼高耗低效落后产业优化升级转型或退出。加快推动节能低碳技术研发和转化应用，推广使用先进节能技术和</w:t>
      </w:r>
      <w:r>
        <w:rPr>
          <w:rFonts w:eastAsia="仿宋"/>
          <w:spacing w:val="-7"/>
          <w:szCs w:val="32"/>
        </w:rPr>
        <w:t>产品。</w:t>
      </w:r>
    </w:p>
    <w:p>
      <w:pPr>
        <w:pStyle w:val="5"/>
        <w:ind w:firstLine="0" w:firstLineChars="0"/>
        <w:jc w:val="center"/>
        <w:rPr>
          <w:rFonts w:ascii="Times New Roman" w:hAnsi="Times New Roman" w:cs="Times New Roman"/>
        </w:rPr>
      </w:pPr>
      <w:bookmarkStart w:id="42" w:name="_Toc106033002"/>
      <w:r>
        <w:rPr>
          <w:rFonts w:hint="eastAsia" w:ascii="Times New Roman" w:hAnsi="Times New Roman" w:cs="Times New Roman"/>
        </w:rPr>
        <w:t xml:space="preserve">第四节 </w:t>
      </w:r>
      <w:r>
        <w:rPr>
          <w:rFonts w:ascii="Times New Roman" w:hAnsi="Times New Roman" w:cs="Times New Roman"/>
        </w:rPr>
        <w:t xml:space="preserve"> 优化调整能源结构</w:t>
      </w:r>
      <w:bookmarkEnd w:id="42"/>
    </w:p>
    <w:p>
      <w:pPr>
        <w:pStyle w:val="6"/>
        <w:ind w:firstLine="643"/>
        <w:rPr>
          <w:rFonts w:cs="Times New Roman"/>
        </w:rPr>
      </w:pPr>
      <w:bookmarkStart w:id="43" w:name="_Toc106033003"/>
      <w:r>
        <w:rPr>
          <w:rFonts w:cs="Times New Roman"/>
        </w:rPr>
        <w:t>1.大力发展可再生能源</w:t>
      </w:r>
      <w:bookmarkEnd w:id="43"/>
    </w:p>
    <w:p>
      <w:pPr>
        <w:ind w:firstLine="640"/>
        <w:rPr>
          <w:szCs w:val="32"/>
        </w:rPr>
      </w:pPr>
      <w:r>
        <w:t>——大力推广光伏发电</w:t>
      </w:r>
      <w:r>
        <w:rPr>
          <w:szCs w:val="32"/>
        </w:rPr>
        <w:t>。鼓励各类社会主体投资建设分布式光伏发电系统，积极推广屋顶分布式光伏发电系统，推广光伏建筑一体化建设。重点支持与农</w:t>
      </w:r>
      <w:r>
        <w:t>业、林业、渔业融合发展，打造渔光互补、农光互补示范区。加快连平县三角镇石源</w:t>
      </w:r>
      <w:r>
        <w:rPr>
          <w:szCs w:val="32"/>
        </w:rPr>
        <w:t>村100兆瓦农光互补光伏电站项目、东源县骆湖镇100兆瓦农光互补光伏电站项目、东源县顺天镇30MW农光互补光伏发电项目建设投产，推进东源县涧头镇长新村100兆瓦农光互补光伏电站项目、和平县公白镇100MW农光互补光伏电站项目、连平县绣缎镇100MW农光互补光伏电站项目、龙川县广州发展龙川龙母60MW林光互补光伏电站和整县屋顶分布式光伏项目等开工建设。“十四五”期间全市新增光伏发电装机容量约300万千瓦。</w:t>
      </w:r>
    </w:p>
    <w:p>
      <w:pPr>
        <w:ind w:firstLine="640"/>
        <w:rPr>
          <w:szCs w:val="32"/>
        </w:rPr>
      </w:pPr>
      <w:r>
        <w:rPr>
          <w:szCs w:val="32"/>
        </w:rPr>
        <w:t>——适度发展陆上风电。加强风电资源勘测，在做好环境保护和征地补偿的前提下，因地制宜推进陆上风电建设。推进建设</w:t>
      </w:r>
      <w:bookmarkStart w:id="44" w:name="_Hlk58577325"/>
      <w:r>
        <w:rPr>
          <w:szCs w:val="32"/>
        </w:rPr>
        <w:t>和平黎明风电项目、龙川大帽山风电项目、连平风吹蝴蝶风电项目、和平县紫云嶂风电项目</w:t>
      </w:r>
      <w:bookmarkEnd w:id="44"/>
      <w:r>
        <w:rPr>
          <w:szCs w:val="32"/>
        </w:rPr>
        <w:t>等陆上风电。</w:t>
      </w:r>
    </w:p>
    <w:p>
      <w:pPr>
        <w:ind w:firstLine="640"/>
      </w:pPr>
      <w:r>
        <w:rPr>
          <w:szCs w:val="32"/>
        </w:rPr>
        <w:t>——因地制宜开发利用生物质能。以生物质能资源的能源化循环利用和清洁利用为重点，按照“以城带乡、区域联动、设施共享”原则，在确保安全可靠、先进环保、省地节能、经济适用的前提下，规范建设河源市热力发电厂、东源县综合资源利用中心等垃圾发电</w:t>
      </w:r>
      <w:r>
        <w:t>项目，统筹解决城市、县城及其周边乡镇的生活垃圾处理问题。</w:t>
      </w:r>
    </w:p>
    <w:p>
      <w:pPr>
        <w:pStyle w:val="6"/>
        <w:ind w:firstLine="643"/>
        <w:rPr>
          <w:rFonts w:cs="Times New Roman"/>
        </w:rPr>
      </w:pPr>
      <w:bookmarkStart w:id="45" w:name="_Toc106033004"/>
      <w:r>
        <w:rPr>
          <w:rFonts w:cs="Times New Roman"/>
        </w:rPr>
        <w:t>2.加快建设抽水蓄能电站</w:t>
      </w:r>
      <w:bookmarkEnd w:id="45"/>
    </w:p>
    <w:p>
      <w:pPr>
        <w:ind w:firstLine="640"/>
      </w:pPr>
      <w:r>
        <w:rPr>
          <w:szCs w:val="32"/>
        </w:rPr>
        <w:t>科学研究抽水蓄能电站项目选址，因地制宜实施以安全、环保为目标的抽水蓄能电站建设。加快推动岑田抽水蓄能电站建设。优化水电资源开发利用，加强对水电站生态流量管理，持续推进老旧水电站更新和技术</w:t>
      </w:r>
      <w:r>
        <w:t>改造。</w:t>
      </w:r>
    </w:p>
    <w:p>
      <w:pPr>
        <w:pStyle w:val="6"/>
        <w:ind w:firstLine="643"/>
        <w:rPr>
          <w:rFonts w:cs="Times New Roman"/>
        </w:rPr>
      </w:pPr>
      <w:bookmarkStart w:id="46" w:name="_Toc106033005"/>
      <w:r>
        <w:rPr>
          <w:rFonts w:cs="Times New Roman"/>
        </w:rPr>
        <w:t>3.积极发展天然气发电</w:t>
      </w:r>
      <w:bookmarkEnd w:id="46"/>
    </w:p>
    <w:p>
      <w:pPr>
        <w:ind w:firstLine="640"/>
      </w:pPr>
      <w:r>
        <w:t>在</w:t>
      </w:r>
      <w:r>
        <w:rPr>
          <w:szCs w:val="32"/>
        </w:rPr>
        <w:t>工业园、产业园区等有用热需求的地区按“以热定电”原则谋划布局天然气热电联产项目。积极推进东源天然气热电联产项目建设工</w:t>
      </w:r>
      <w:r>
        <w:t>作。到2025年全市天然气发电装机规模达到80万千瓦。</w:t>
      </w:r>
    </w:p>
    <w:p>
      <w:pPr>
        <w:pStyle w:val="6"/>
        <w:ind w:firstLine="643"/>
        <w:rPr>
          <w:rFonts w:cs="Times New Roman"/>
        </w:rPr>
      </w:pPr>
      <w:bookmarkStart w:id="47" w:name="_Toc106033006"/>
      <w:r>
        <w:rPr>
          <w:rFonts w:cs="Times New Roman"/>
        </w:rPr>
        <w:t>4.科学有序发展清洁煤电</w:t>
      </w:r>
      <w:bookmarkEnd w:id="47"/>
    </w:p>
    <w:p>
      <w:pPr>
        <w:ind w:firstLine="640"/>
        <w:rPr>
          <w:szCs w:val="32"/>
        </w:rPr>
      </w:pPr>
      <w:r>
        <w:rPr>
          <w:szCs w:val="32"/>
        </w:rPr>
        <w:t>发挥煤电机组的托底保障作用，合理推动支撑性基础性煤电项目建设。持续推动煤电灵活性和节能增效改造。统筹能源安全保障和环境承载力，新增投产河源电厂二期2×1000MW燃煤机组扩建工程。到2025年全市煤电装机规模达到320万千瓦。</w:t>
      </w:r>
    </w:p>
    <w:p>
      <w:pPr>
        <w:ind w:firstLine="640"/>
      </w:pPr>
    </w:p>
    <w:p>
      <w:pPr>
        <w:ind w:firstLine="640"/>
      </w:pPr>
    </w:p>
    <w:p>
      <w:pPr>
        <w:pStyle w:val="2"/>
        <w:ind w:firstLine="420"/>
        <w:rPr>
          <w:rFonts w:ascii="Times New Roman" w:hAnsi="Times New Roman"/>
        </w:rPr>
      </w:pPr>
    </w:p>
    <w:p>
      <w:pPr>
        <w:ind w:firstLine="640"/>
      </w:pPr>
    </w:p>
    <w:tbl>
      <w:tblPr>
        <w:tblStyle w:val="16"/>
        <w:tblW w:w="79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0" w:firstLineChars="0"/>
              <w:jc w:val="center"/>
              <w:rPr>
                <w:rFonts w:eastAsia="楷体"/>
                <w:bCs/>
                <w:spacing w:val="-3"/>
                <w:szCs w:val="32"/>
              </w:rPr>
            </w:pPr>
            <w:r>
              <w:t>专栏1  能源结构优化工程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643"/>
            </w:pPr>
            <w:r>
              <w:rPr>
                <w:b/>
              </w:rPr>
              <w:t>1.煤电</w:t>
            </w:r>
            <w:r>
              <w:t>：新增投产河源电厂二期2×1000MW燃煤机组扩建工程。</w:t>
            </w:r>
          </w:p>
          <w:p>
            <w:pPr>
              <w:ind w:firstLine="643"/>
            </w:pPr>
            <w:r>
              <w:rPr>
                <w:b/>
              </w:rPr>
              <w:t>2.气电</w:t>
            </w:r>
            <w:r>
              <w:t>：积极推进东源天然气热电联产项目建设工作。</w:t>
            </w:r>
          </w:p>
          <w:p>
            <w:pPr>
              <w:ind w:firstLine="643"/>
            </w:pPr>
            <w:r>
              <w:rPr>
                <w:b/>
              </w:rPr>
              <w:t>3.风电</w:t>
            </w:r>
            <w:r>
              <w:t>：推进建设和平黎明风电项目、龙川大帽山风电项目、连平风吹蝴蝶风电项目、和平县紫云嶂风电项目、等陆上风电。</w:t>
            </w:r>
          </w:p>
          <w:p>
            <w:pPr>
              <w:ind w:firstLine="643"/>
            </w:pPr>
            <w:r>
              <w:rPr>
                <w:b/>
              </w:rPr>
              <w:t>4.太阳能光伏发电工程</w:t>
            </w:r>
            <w:r>
              <w:t>：加快连平县三角镇石源村100兆瓦农光互补光伏电站项目、东源县骆湖镇100兆瓦农光互补光伏电站项目、东源县顺天镇30MW农光互补光伏发电项目建设，推进东源县涧头镇长新村100兆瓦农光互补光伏电站项目、和平县公白镇100MW农光互补光伏电站项目、连平县绣缎镇100MW农光互补光伏电站项目、龙川县广州发展龙川龙母60MW林光互补光伏电站、整县屋顶分布式光伏项目等开工建设。</w:t>
            </w:r>
          </w:p>
          <w:p>
            <w:pPr>
              <w:ind w:firstLine="643"/>
            </w:pPr>
            <w:r>
              <w:rPr>
                <w:b/>
              </w:rPr>
              <w:t>5.生物质能开发利用工程</w:t>
            </w:r>
            <w:r>
              <w:t>：重点推进河源市热力发电厂、东源县综合资源利用中心等生活垃圾焚烧发电项目。</w:t>
            </w:r>
          </w:p>
          <w:p>
            <w:pPr>
              <w:ind w:firstLine="643"/>
              <w:rPr>
                <w:bCs/>
                <w:spacing w:val="-3"/>
                <w:szCs w:val="32"/>
              </w:rPr>
            </w:pPr>
            <w:r>
              <w:rPr>
                <w:b/>
              </w:rPr>
              <w:t>6.抽水蓄能电站</w:t>
            </w:r>
            <w:r>
              <w:t>：加快推动岑田抽水蓄能电站建设。</w:t>
            </w:r>
          </w:p>
        </w:tc>
      </w:tr>
    </w:tbl>
    <w:p>
      <w:pPr>
        <w:ind w:firstLine="640"/>
      </w:pPr>
    </w:p>
    <w:p>
      <w:pPr>
        <w:pStyle w:val="5"/>
        <w:ind w:firstLine="0" w:firstLineChars="0"/>
        <w:jc w:val="center"/>
        <w:rPr>
          <w:rFonts w:ascii="Times New Roman" w:hAnsi="Times New Roman" w:cs="Times New Roman"/>
        </w:rPr>
      </w:pPr>
      <w:bookmarkStart w:id="48" w:name="_Toc106033007"/>
      <w:bookmarkStart w:id="49" w:name="_Toc75360382"/>
      <w:bookmarkStart w:id="50" w:name="_Toc75424447"/>
      <w:r>
        <w:rPr>
          <w:rFonts w:hint="eastAsia" w:ascii="Times New Roman" w:hAnsi="Times New Roman" w:cs="Times New Roman"/>
        </w:rPr>
        <w:t xml:space="preserve">第五节 </w:t>
      </w:r>
      <w:r>
        <w:rPr>
          <w:rFonts w:ascii="Times New Roman" w:hAnsi="Times New Roman" w:cs="Times New Roman"/>
        </w:rPr>
        <w:t xml:space="preserve"> 深化工业领域节能</w:t>
      </w:r>
      <w:bookmarkEnd w:id="48"/>
      <w:bookmarkEnd w:id="49"/>
      <w:bookmarkEnd w:id="50"/>
    </w:p>
    <w:p>
      <w:pPr>
        <w:ind w:firstLine="640"/>
        <w:rPr>
          <w:szCs w:val="32"/>
        </w:rPr>
      </w:pPr>
      <w:r>
        <w:rPr>
          <w:szCs w:val="32"/>
        </w:rPr>
        <w:t>研究制订“十四五”期间工业行业能耗控制标准，明确工业行业企业准入值、存量优化值，重点开展耗能行业企业节能潜力的研究，对标分析我市与国内、省内其他城市高能耗行业的单位产值能耗所处的水平，进行潜力分析，为下一步工业节能工作措施提供有力支撑。加快推进工业节能改造，对在全市综合能耗排名前50工业企业范围进行重点监管，要求其制定企业“十四五”节能规划，引导企业采用先进适用节能及清洁生产技术实施升级改造。深入开展能效“领跑者”行动，在重点行业开展能效对标达标活动，推动重点用能行业持续赶超引领；以钢铁、化工、有色金属、水泥、玻璃等“两高”行业为重点，对标国际国内或行业先进水平，推进生产线节能改造和绿色化升级。加强数据中心节能管理，梳理与数据中心有关合作内容，以产值、税收为抓手，进一步协商谈判，做好合同完善和补充工作；加强数据中心上报数据研究，主动与上级沟通，力争将数据中心产值数据纳入工业统计范围；推进数据中心节能改造和能效提升，督促数据中心通过电力现货市场交易消纳海上风电。</w:t>
      </w:r>
      <w:r>
        <w:rPr>
          <w:szCs w:val="32"/>
        </w:rPr>
        <w:br w:type="page"/>
      </w:r>
    </w:p>
    <w:tbl>
      <w:tblPr>
        <w:tblStyle w:val="16"/>
        <w:tblW w:w="79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0" w:firstLineChars="0"/>
              <w:jc w:val="center"/>
              <w:rPr>
                <w:rFonts w:eastAsia="楷体"/>
                <w:bCs/>
                <w:spacing w:val="-3"/>
                <w:szCs w:val="32"/>
              </w:rPr>
            </w:pPr>
            <w:r>
              <w:t>专栏2  工业节能技术改造工程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643"/>
            </w:pPr>
            <w:r>
              <w:rPr>
                <w:b/>
              </w:rPr>
              <w:t>1、重点用能设备能效提升。</w:t>
            </w:r>
            <w:r>
              <w:t>工业锅炉、电机、变压器、风机、水泵等通用设备及系统的节能提效，对工业节能降耗，提高能源利用效率，实现工业节能目标具有重要意义。“十四五”期间，我市要进一步加大节能高效电机推广使用力度，严禁落后低效电机生产、销售和使用，加大对电机回收机构监管力度，确保回收电机不流入二级市场。采用变频调速、用词调速等先进电机调速技术改善风机、泵类电机系统调节方式，通过软启动装置、无功补偿装置、计算机自控系统等合理配置能量，提高电机系统运行效率。开展配电变压器普查，淘汰高耗能配电变压器。到2025年，基本完成S10及以下型号高耗能配电变压器淘汰任务，新增配电变压器必须采用高效配变变压器。在电子设备制造、纺织、医药制造等行业中，大力推广中央空调节能技术改造，淘汰能效比较低的空调主机，大力推广中央空调节能集成优化管理、磁悬浮式空调主机等节能技术。</w:t>
            </w:r>
          </w:p>
          <w:p>
            <w:pPr>
              <w:ind w:firstLine="643"/>
            </w:pPr>
            <w:r>
              <w:rPr>
                <w:b/>
              </w:rPr>
              <w:t>2、能量系统优化。</w:t>
            </w:r>
            <w:r>
              <w:t>在钢铁、水泥、陶瓷、玻璃等我市重点特色行业实施能效系统优化工程，以安全高效生产为主线，进行系统能量利用效率优化提升，优化设计工序，联合布置方式，实现企业资源、能源梯级利用；加强分布式能源建设，构建区域微能源网、微电网，实现多种能源相互补充。大力实施原材料就地加工，就地使用，实现能量梯级利用和资源循环利用。</w:t>
            </w:r>
          </w:p>
          <w:p>
            <w:pPr>
              <w:ind w:firstLine="643"/>
              <w:rPr>
                <w:bCs/>
                <w:spacing w:val="-3"/>
                <w:szCs w:val="32"/>
              </w:rPr>
            </w:pPr>
            <w:r>
              <w:rPr>
                <w:b/>
              </w:rPr>
              <w:t>3、工业锅（窑）炉改造。</w:t>
            </w:r>
            <w:r>
              <w:t>严格锅炉能效准入门槛，加快推进工业燃煤锅炉实施“煤改气”或“煤改电”；推进全市热电联产规划的实施，在热电联产供热范围内的用热企业必须采用集中供热。支持采用燃烧优化、富氧燃烧、二次送风、自动控制、余热回收、太阳能预热、主辅机优化、热泵、纳微米高辐射覆层、防垢除垢等技术进行节能改造。推广锅（窑）炉燃烧自动调节控制技术装备，加大财政资金投入，定期开展锅（窑）炉能效检测，改造或淘汰能效不达标的锅（窑）炉，提升锅（窑）炉运行管理水平。</w:t>
            </w:r>
          </w:p>
        </w:tc>
      </w:tr>
    </w:tbl>
    <w:p>
      <w:pPr>
        <w:ind w:firstLine="640"/>
        <w:rPr>
          <w:szCs w:val="32"/>
        </w:rPr>
      </w:pPr>
    </w:p>
    <w:tbl>
      <w:tblPr>
        <w:tblStyle w:val="16"/>
        <w:tblW w:w="79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0" w:firstLineChars="0"/>
              <w:jc w:val="center"/>
              <w:rPr>
                <w:rFonts w:eastAsia="方正仿宋简体"/>
                <w:szCs w:val="32"/>
              </w:rPr>
            </w:pPr>
            <w:r>
              <w:t>专栏3  建材行业能效提升工程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643"/>
            </w:pPr>
            <w:r>
              <w:rPr>
                <w:b/>
              </w:rPr>
              <w:t>1、新技术新工艺推广。</w:t>
            </w:r>
            <w:r>
              <w:t>加快陶瓷砖薄型化、卫生陶瓷轻量化工艺装备技术开发与应用，重点推广干法制粉、喷墨打印、增材制造、陶瓷原料制备控制系统、压机控制系统、机器人注浆修坯、机器人施釉、产品智能检选和包装码堆等技术装备，加快窑炉、喷雾干燥塔等设备节能改造。加快发展低辐射镀膜玻璃、超白玻璃、高透型镀膜中空玻璃、真空玻璃、多色镀膜玻璃制品等建筑节能安全玻璃。</w:t>
            </w:r>
          </w:p>
          <w:p>
            <w:pPr>
              <w:ind w:firstLine="643"/>
              <w:rPr>
                <w:bCs/>
                <w:spacing w:val="-3"/>
                <w:szCs w:val="32"/>
              </w:rPr>
            </w:pPr>
            <w:r>
              <w:rPr>
                <w:b/>
              </w:rPr>
              <w:t>2、智能节能创新。</w:t>
            </w:r>
            <w:r>
              <w:t>针对建材行业特点，以原料制备、破碎粉磨、窑炉控制、物流仓储、在线检测等关键环节为重点，加快推广应用全流程能量系统优化运营等智能生产技术。</w:t>
            </w:r>
          </w:p>
        </w:tc>
      </w:tr>
    </w:tbl>
    <w:p>
      <w:pPr>
        <w:ind w:firstLine="640"/>
        <w:rPr>
          <w:szCs w:val="32"/>
        </w:rPr>
      </w:pPr>
    </w:p>
    <w:tbl>
      <w:tblPr>
        <w:tblStyle w:val="16"/>
        <w:tblW w:w="79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adjustRightInd w:val="0"/>
              <w:snapToGrid w:val="0"/>
              <w:spacing w:line="579" w:lineRule="exact"/>
              <w:ind w:firstLine="628"/>
              <w:jc w:val="center"/>
              <w:rPr>
                <w:bCs/>
                <w:spacing w:val="-3"/>
                <w:szCs w:val="32"/>
              </w:rPr>
            </w:pPr>
            <w:r>
              <w:rPr>
                <w:rFonts w:eastAsia="楷体"/>
                <w:bCs/>
                <w:spacing w:val="-3"/>
                <w:szCs w:val="32"/>
              </w:rPr>
              <w:t>专栏4  钢铁行业能效提升工程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adjustRightInd w:val="0"/>
              <w:snapToGrid w:val="0"/>
              <w:spacing w:line="579" w:lineRule="exact"/>
              <w:ind w:firstLine="631"/>
              <w:rPr>
                <w:bCs/>
                <w:spacing w:val="-3"/>
                <w:szCs w:val="32"/>
              </w:rPr>
            </w:pPr>
            <w:r>
              <w:rPr>
                <w:b/>
                <w:bCs/>
                <w:spacing w:val="-3"/>
                <w:szCs w:val="32"/>
              </w:rPr>
              <w:t>1、推广实施重点节能技术改造。</w:t>
            </w:r>
            <w:r>
              <w:rPr>
                <w:bCs/>
                <w:spacing w:val="-3"/>
                <w:szCs w:val="32"/>
              </w:rPr>
              <w:t>加快建立智慧能环系统，提升能源综合管理能力和能源加工效率；加大各工序节能措施的推广应用，进一步降低工序能耗水平及提升余能回收水平；推广长流程企业利用多余的自产煤气发电，既节约资源，又减少煤气放散，保护环境；推广实施加热炉烟气余热回收、智慧电厂锅炉岛智能控制、加热炉黑体节能、炼钢煤气回收提升、发电机组发电效率提升等先进节能优化技术。</w:t>
            </w:r>
          </w:p>
          <w:p>
            <w:pPr>
              <w:adjustRightInd w:val="0"/>
              <w:snapToGrid w:val="0"/>
              <w:spacing w:line="579" w:lineRule="exact"/>
              <w:ind w:firstLine="631"/>
              <w:rPr>
                <w:bCs/>
                <w:spacing w:val="-3"/>
                <w:szCs w:val="32"/>
              </w:rPr>
            </w:pPr>
            <w:r>
              <w:rPr>
                <w:b/>
                <w:bCs/>
                <w:spacing w:val="-3"/>
                <w:szCs w:val="32"/>
              </w:rPr>
              <w:t>2、提高既有钢铁企业能效水平。</w:t>
            </w:r>
            <w:r>
              <w:rPr>
                <w:bCs/>
                <w:spacing w:val="-3"/>
                <w:szCs w:val="32"/>
              </w:rPr>
              <w:t>开展钢铁行业能效“领跑者”引领行动，定期公布“领跑者”企业和能效标杆值，引导提高全行业能效水平；到“十四五”末期，既有钢铁企业争取达到能耗限额标准先进值。</w:t>
            </w:r>
          </w:p>
          <w:p>
            <w:pPr>
              <w:adjustRightInd w:val="0"/>
              <w:snapToGrid w:val="0"/>
              <w:spacing w:line="579" w:lineRule="exact"/>
              <w:ind w:firstLine="631"/>
              <w:rPr>
                <w:bCs/>
                <w:spacing w:val="-3"/>
                <w:szCs w:val="32"/>
              </w:rPr>
            </w:pPr>
            <w:r>
              <w:rPr>
                <w:b/>
                <w:bCs/>
                <w:spacing w:val="-3"/>
                <w:szCs w:val="32"/>
              </w:rPr>
              <w:t>3、淘汰落后产能增强产业集中度。</w:t>
            </w:r>
            <w:r>
              <w:rPr>
                <w:bCs/>
                <w:spacing w:val="-3"/>
                <w:szCs w:val="32"/>
              </w:rPr>
              <w:t>制定年度淘汰落后产能计划，分解落实淘汰落后产能目标；对450立方米及以下炼铁高炉，40吨及以下转炉和电炉项目，列入淘汰落后产能年度任务加快淘汰；支持并购淘汰小型落后企业，增强产业集中度。</w:t>
            </w:r>
          </w:p>
        </w:tc>
      </w:tr>
    </w:tbl>
    <w:p>
      <w:pPr>
        <w:pStyle w:val="2"/>
        <w:ind w:firstLine="420"/>
        <w:rPr>
          <w:rFonts w:ascii="Times New Roman" w:hAnsi="Times New Roman"/>
        </w:rPr>
      </w:pPr>
    </w:p>
    <w:tbl>
      <w:tblPr>
        <w:tblStyle w:val="16"/>
        <w:tblW w:w="79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adjustRightInd w:val="0"/>
              <w:snapToGrid w:val="0"/>
              <w:spacing w:line="579" w:lineRule="exact"/>
              <w:ind w:firstLine="628"/>
              <w:jc w:val="center"/>
              <w:rPr>
                <w:rFonts w:eastAsia="方正仿宋简体"/>
                <w:szCs w:val="32"/>
              </w:rPr>
            </w:pPr>
            <w:r>
              <w:rPr>
                <w:rFonts w:eastAsia="楷体"/>
                <w:bCs/>
                <w:spacing w:val="-3"/>
                <w:szCs w:val="32"/>
              </w:rPr>
              <w:t>专栏5  有色行业能效提升工程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adjustRightInd w:val="0"/>
              <w:snapToGrid w:val="0"/>
              <w:spacing w:line="579" w:lineRule="exact"/>
              <w:ind w:firstLine="628"/>
              <w:rPr>
                <w:bCs/>
                <w:spacing w:val="-3"/>
                <w:szCs w:val="32"/>
              </w:rPr>
            </w:pPr>
            <w:r>
              <w:rPr>
                <w:bCs/>
                <w:spacing w:val="-3"/>
                <w:szCs w:val="32"/>
              </w:rPr>
              <w:t>促进低效装备退出。促进有色冶炼领域关键装备中的低效装备退出，淘汰10吨以下直烧熔炼炉等低效装备，鼓励节能高效装备进入，省、市财政对使用高效能装备实行财政补贴贴、奖励或退税。</w:t>
            </w:r>
          </w:p>
          <w:p>
            <w:pPr>
              <w:adjustRightInd w:val="0"/>
              <w:snapToGrid w:val="0"/>
              <w:spacing w:line="579" w:lineRule="exact"/>
              <w:ind w:firstLine="628"/>
              <w:rPr>
                <w:bCs/>
                <w:spacing w:val="-3"/>
                <w:szCs w:val="32"/>
              </w:rPr>
            </w:pPr>
            <w:r>
              <w:rPr>
                <w:bCs/>
                <w:spacing w:val="-3"/>
                <w:szCs w:val="32"/>
              </w:rPr>
              <w:t>强化新技术和新工艺应用。在铝加工产业熔铸炉、阳极氧化生产线等进行装备升级，充分发挥技术改造对这些关键装备转型升级的促进作用；在熔铸炉生产线上全面推行蓄热式燃烧系统，鼓励用富氧燃烧枪技术替代目前常规燃烧喷枪，提高燃烧效率；在阳极氧化生产线上支持用磁悬浮直冷式冷冻机替代传统的螺杆式冷冻机，鼓励阳极氧化前处理采用零排放工艺技术。</w:t>
            </w:r>
          </w:p>
        </w:tc>
      </w:tr>
    </w:tbl>
    <w:p>
      <w:pPr>
        <w:ind w:firstLine="640"/>
        <w:rPr>
          <w:szCs w:val="32"/>
        </w:rPr>
      </w:pPr>
    </w:p>
    <w:p>
      <w:pPr>
        <w:pStyle w:val="5"/>
        <w:ind w:firstLine="0" w:firstLineChars="0"/>
        <w:jc w:val="center"/>
        <w:rPr>
          <w:rFonts w:ascii="Times New Roman" w:hAnsi="Times New Roman" w:cs="Times New Roman"/>
        </w:rPr>
      </w:pPr>
      <w:bookmarkStart w:id="51" w:name="_Toc75360383"/>
      <w:bookmarkStart w:id="52" w:name="_Toc75424448"/>
      <w:bookmarkStart w:id="53" w:name="_Toc106033008"/>
      <w:r>
        <w:rPr>
          <w:rFonts w:hint="eastAsia" w:ascii="Times New Roman" w:hAnsi="Times New Roman" w:cs="Times New Roman"/>
        </w:rPr>
        <w:t xml:space="preserve">第六节 </w:t>
      </w:r>
      <w:r>
        <w:rPr>
          <w:rFonts w:ascii="Times New Roman" w:hAnsi="Times New Roman" w:cs="Times New Roman"/>
        </w:rPr>
        <w:t xml:space="preserve"> 发展新基建领域节能</w:t>
      </w:r>
      <w:bookmarkEnd w:id="51"/>
      <w:bookmarkEnd w:id="52"/>
      <w:bookmarkEnd w:id="53"/>
    </w:p>
    <w:p>
      <w:pPr>
        <w:ind w:firstLine="640"/>
      </w:pPr>
      <w:bookmarkStart w:id="54" w:name="_Toc75424449"/>
      <w:bookmarkStart w:id="55" w:name="_Toc75360384"/>
      <w:r>
        <w:rPr>
          <w:szCs w:val="32"/>
        </w:rPr>
        <w:t>加强在用数据中心绿色运</w:t>
      </w:r>
      <w:r>
        <w:t>维与节能改造，鼓励采用高效节能的绿色数据中心先进适用技术产品，</w:t>
      </w:r>
      <w:r>
        <w:rPr>
          <w:szCs w:val="32"/>
        </w:rPr>
        <w:t>有效提升数据中心整体能耗水平和运行效率</w:t>
      </w:r>
      <w:r>
        <w:t>。在满足安全运维的前提下，</w:t>
      </w:r>
      <w:r>
        <w:rPr>
          <w:szCs w:val="32"/>
        </w:rPr>
        <w:t>鼓励选用动力电池梯级利用产品作为储能和备用电源装置</w:t>
      </w:r>
      <w:r>
        <w:t>。</w:t>
      </w:r>
      <w:r>
        <w:br w:type="page"/>
      </w:r>
    </w:p>
    <w:tbl>
      <w:tblPr>
        <w:tblStyle w:val="16"/>
        <w:tblW w:w="79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0" w:firstLineChars="0"/>
              <w:jc w:val="center"/>
              <w:rPr>
                <w:rFonts w:eastAsia="楷体"/>
                <w:bCs/>
                <w:spacing w:val="-3"/>
                <w:szCs w:val="32"/>
              </w:rPr>
            </w:pPr>
            <w:r>
              <w:t>专栏6  绿色数据中心建设工程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643"/>
            </w:pPr>
            <w:r>
              <w:rPr>
                <w:b/>
              </w:rPr>
              <w:t>1、加快推动节能与绿色化改造。</w:t>
            </w:r>
            <w:r>
              <w:t>加快推动我市已投运数据中心开展节能与绿色化改造，特别是电信运营商等能源资源利用效率低的低小老旧数据中心。加强在设备布局、制冷架构、外围护结构（密封、遮阳、保温等）、供配电方式、单机柜功率密度以及各系统的智能运行策略等方面的技术改造和优化升级。鼓励对改造工程进行绿色测评。力争通过改造后既有数据中心电能使用效率达到全省平均水平以上。</w:t>
            </w:r>
          </w:p>
          <w:p>
            <w:pPr>
              <w:ind w:firstLine="643"/>
            </w:pPr>
            <w:r>
              <w:rPr>
                <w:b/>
              </w:rPr>
              <w:t>2、加强绿色技术产品创新推广。</w:t>
            </w:r>
            <w:r>
              <w:t>结合实际和业务类型，推广整机柜、模块化等先进技术，提高单位面积功率密度，减少IT设备占用的物理空间。加强绿色智能服务器、能源管理信息化系统、热场管理、余热利用、自然冷源、水循环利用、分布式供能、直流供电等机房管理技术的研发与应用。推广绝热冷却工程设计和建设，扩大太阳能等新能源应用，有效降低传统电源的用电负荷。跟踪国家绿色数据中心试点企业经验，积极引入优秀的节能方案、节能产品、节能案例，实现先进技术与产品最优配置。</w:t>
            </w:r>
          </w:p>
          <w:p>
            <w:pPr>
              <w:ind w:firstLine="643"/>
              <w:rPr>
                <w:bCs/>
                <w:spacing w:val="-3"/>
                <w:szCs w:val="32"/>
              </w:rPr>
            </w:pPr>
            <w:r>
              <w:rPr>
                <w:b/>
              </w:rPr>
              <w:t>3、提升绿色数据中心服务能力。</w:t>
            </w:r>
            <w:r>
              <w:t>按照国家各类数据中心能耗评测标准，确定能耗指标的采集和计算方法，通过第三方机构在我市开展“数据中心PUE/绿色等级认证”检测和分级评价工作。强化新建数据中心项目的绿色设计、绿色采购、绿色建设，明确数据中心节能、低碳、节水、排放控制、综合利用等节能环保目标。强化技术与管理手段的综合应用，建立涵盖技术应用、管理手段创新应用的数据中心运维管理体系。开展节能环保水平自监测工作，定期统计、分析监测结果，形成自我检查、自我优化、自我改进的自循环工作机制。加强对数据中心的能耗评估和对区域经济贡献率评估，对符合我省政策导向的给予必要的要素保障。中大型数据中心应建设能耗在线监测系统，按要求接入市能耗在线监测平台。</w:t>
            </w:r>
          </w:p>
        </w:tc>
      </w:tr>
    </w:tbl>
    <w:p>
      <w:pPr>
        <w:ind w:firstLine="640"/>
        <w:rPr>
          <w:szCs w:val="32"/>
        </w:rPr>
      </w:pPr>
    </w:p>
    <w:p>
      <w:pPr>
        <w:pStyle w:val="5"/>
        <w:ind w:firstLine="0" w:firstLineChars="0"/>
        <w:jc w:val="center"/>
        <w:rPr>
          <w:rFonts w:ascii="Times New Roman" w:hAnsi="Times New Roman" w:cs="Times New Roman"/>
        </w:rPr>
      </w:pPr>
      <w:bookmarkStart w:id="56" w:name="_Toc106033009"/>
      <w:r>
        <w:rPr>
          <w:rFonts w:hint="eastAsia" w:ascii="Times New Roman" w:hAnsi="Times New Roman" w:cs="Times New Roman"/>
        </w:rPr>
        <w:t xml:space="preserve">第七节 </w:t>
      </w:r>
      <w:r>
        <w:rPr>
          <w:rFonts w:ascii="Times New Roman" w:hAnsi="Times New Roman" w:cs="Times New Roman"/>
        </w:rPr>
        <w:t xml:space="preserve"> 加快建筑领域节能</w:t>
      </w:r>
      <w:bookmarkEnd w:id="54"/>
      <w:bookmarkEnd w:id="55"/>
      <w:bookmarkEnd w:id="56"/>
    </w:p>
    <w:p>
      <w:pPr>
        <w:pStyle w:val="6"/>
        <w:ind w:firstLine="643"/>
        <w:rPr>
          <w:rFonts w:cs="Times New Roman"/>
        </w:rPr>
      </w:pPr>
      <w:bookmarkStart w:id="57" w:name="_Toc106033010"/>
      <w:r>
        <w:rPr>
          <w:rFonts w:cs="Times New Roman"/>
        </w:rPr>
        <w:t>1.</w:t>
      </w:r>
      <w:r>
        <w:rPr>
          <w:rFonts w:eastAsia="楷体_GB2312" w:cs="Times New Roman"/>
        </w:rPr>
        <w:t>高质量发展绿色建筑</w:t>
      </w:r>
      <w:bookmarkEnd w:id="57"/>
    </w:p>
    <w:p>
      <w:pPr>
        <w:ind w:firstLine="640"/>
        <w:rPr>
          <w:szCs w:val="32"/>
        </w:rPr>
      </w:pPr>
      <w:r>
        <w:rPr>
          <w:szCs w:val="32"/>
        </w:rPr>
        <w:t>贯彻落实《广东省绿色建筑条例》，做好条例宣传和普法工作。加强绿色建筑建设管理运营全过程管控，积极推进绿色建筑创建行动。新建建筑全面执行绿色建筑标准，因地制宜发展超低能耗建筑、近零能耗建筑，加快推进既有建筑节能改造，完善公共建筑节能监管体系，健全建筑能耗管理制度，加强党政机关集中办公区、教育、科技、文化、卫生、体育、商业等公共建筑能耗管理。推进太阳能等可再生能源在建筑领域的规模化应用，推广建筑节能、节水、节地、节材和保护环境的适宜技术，提升绿色施工水平，做好建筑施工节能。</w:t>
      </w:r>
    </w:p>
    <w:p>
      <w:pPr>
        <w:pStyle w:val="6"/>
        <w:ind w:firstLine="643"/>
        <w:rPr>
          <w:rFonts w:cs="Times New Roman"/>
        </w:rPr>
      </w:pPr>
      <w:bookmarkStart w:id="58" w:name="_Toc106033011"/>
      <w:r>
        <w:rPr>
          <w:rFonts w:cs="Times New Roman"/>
        </w:rPr>
        <w:t>2.加快新型建筑工业化发展</w:t>
      </w:r>
      <w:bookmarkEnd w:id="58"/>
    </w:p>
    <w:p>
      <w:pPr>
        <w:ind w:firstLine="640"/>
        <w:rPr>
          <w:szCs w:val="32"/>
        </w:rPr>
      </w:pPr>
      <w:r>
        <w:rPr>
          <w:szCs w:val="32"/>
        </w:rPr>
        <w:t>推广装配式建筑应用，大力发展钢结构等装配式建筑，新建公共建筑原则上采用钢结构，推动装配式装修，打造装配式建筑产业基地，提升装配化建造水平。加快推进以装配式建筑为代表的新型建筑工业化，2025年末全市装配式建筑面积占新建建筑面积的比例持续增加，政府投资建筑工程项目优先采用装配式建造方式。积极创建广东省装配式建筑示范城市。</w:t>
      </w:r>
    </w:p>
    <w:p>
      <w:pPr>
        <w:pStyle w:val="6"/>
        <w:ind w:firstLine="643"/>
        <w:rPr>
          <w:rFonts w:cs="Times New Roman"/>
        </w:rPr>
      </w:pPr>
      <w:bookmarkStart w:id="59" w:name="_Toc106033012"/>
      <w:r>
        <w:rPr>
          <w:rFonts w:cs="Times New Roman"/>
        </w:rPr>
        <w:t>3.推进可再生能源高品质应用</w:t>
      </w:r>
      <w:bookmarkEnd w:id="59"/>
    </w:p>
    <w:p>
      <w:pPr>
        <w:topLinePunct/>
        <w:autoSpaceDE w:val="0"/>
        <w:autoSpaceDN w:val="0"/>
        <w:ind w:firstLine="640"/>
        <w:rPr>
          <w:szCs w:val="32"/>
        </w:rPr>
      </w:pPr>
      <w:r>
        <w:rPr>
          <w:szCs w:val="32"/>
        </w:rPr>
        <w:t>因地制宜采用太阳能、空气热能、浅层地热能、生物质能等可再生能源。鼓励有条件、屋顶面积适宜的大型公共建筑、工业厂房建筑应用太阳能光伏发电技术，进一步加大太阳能光热系统在中低层住宅、酒店、学校建筑中的应用。高星级绿色建筑、超低能耗建筑中积极采用可再生能源。</w:t>
      </w:r>
    </w:p>
    <w:p>
      <w:pPr>
        <w:pStyle w:val="6"/>
        <w:ind w:firstLine="643"/>
        <w:rPr>
          <w:rFonts w:cs="Times New Roman"/>
        </w:rPr>
      </w:pPr>
      <w:bookmarkStart w:id="60" w:name="_Toc106033013"/>
      <w:r>
        <w:rPr>
          <w:rFonts w:cs="Times New Roman"/>
        </w:rPr>
        <w:t>4.</w:t>
      </w:r>
      <w:bookmarkStart w:id="61" w:name="_Toc20291"/>
      <w:bookmarkStart w:id="62" w:name="_Toc16495"/>
      <w:bookmarkStart w:id="63" w:name="_Toc30870"/>
      <w:bookmarkStart w:id="64" w:name="_Toc32654"/>
      <w:bookmarkStart w:id="65" w:name="_Toc16210"/>
      <w:bookmarkStart w:id="66" w:name="_Toc7656"/>
      <w:r>
        <w:rPr>
          <w:rFonts w:cs="Times New Roman"/>
        </w:rPr>
        <w:t>推动既有建筑能效和绿色品质提升</w:t>
      </w:r>
      <w:bookmarkEnd w:id="60"/>
      <w:bookmarkEnd w:id="61"/>
      <w:bookmarkEnd w:id="62"/>
      <w:bookmarkEnd w:id="63"/>
      <w:bookmarkEnd w:id="64"/>
      <w:bookmarkEnd w:id="65"/>
      <w:bookmarkEnd w:id="66"/>
    </w:p>
    <w:p>
      <w:pPr>
        <w:topLinePunct/>
        <w:autoSpaceDE w:val="0"/>
        <w:autoSpaceDN w:val="0"/>
        <w:ind w:firstLine="640"/>
        <w:rPr>
          <w:szCs w:val="32"/>
        </w:rPr>
      </w:pPr>
      <w:r>
        <w:rPr>
          <w:szCs w:val="32"/>
        </w:rPr>
        <w:t>完善既有建筑节能改造政策，进一步推进与发改、供电等相关部门的数据共享。加快完善建筑节能改造市场机制，推动建筑节能服务机构为建筑运行和既有民用建筑节能改造提供合同能源管理服务。推进合同能源管理，强化建筑物所有权人、使用人、管理人责任。</w:t>
      </w:r>
    </w:p>
    <w:p>
      <w:pPr>
        <w:pStyle w:val="5"/>
        <w:ind w:firstLine="0" w:firstLineChars="0"/>
        <w:jc w:val="center"/>
        <w:rPr>
          <w:rFonts w:ascii="Times New Roman" w:hAnsi="Times New Roman" w:cs="Times New Roman"/>
        </w:rPr>
      </w:pPr>
      <w:bookmarkStart w:id="67" w:name="_Toc75424450"/>
      <w:bookmarkStart w:id="68" w:name="_Toc75360385"/>
      <w:bookmarkStart w:id="69" w:name="_Toc106033014"/>
      <w:r>
        <w:rPr>
          <w:rFonts w:hint="eastAsia" w:ascii="Times New Roman" w:hAnsi="Times New Roman" w:cs="Times New Roman"/>
        </w:rPr>
        <w:t xml:space="preserve">第八节 </w:t>
      </w:r>
      <w:r>
        <w:rPr>
          <w:rFonts w:ascii="Times New Roman" w:hAnsi="Times New Roman" w:cs="Times New Roman"/>
        </w:rPr>
        <w:t xml:space="preserve"> 推进交通运输节能</w:t>
      </w:r>
      <w:bookmarkEnd w:id="67"/>
      <w:bookmarkEnd w:id="68"/>
      <w:bookmarkEnd w:id="69"/>
    </w:p>
    <w:p>
      <w:pPr>
        <w:pStyle w:val="6"/>
        <w:ind w:firstLine="643"/>
        <w:rPr>
          <w:rFonts w:cs="Times New Roman"/>
        </w:rPr>
      </w:pPr>
      <w:bookmarkStart w:id="70" w:name="_Toc106033015"/>
      <w:bookmarkStart w:id="71" w:name="_Toc75424451"/>
      <w:bookmarkStart w:id="72" w:name="_Toc75360386"/>
      <w:r>
        <w:rPr>
          <w:rFonts w:cs="Times New Roman"/>
        </w:rPr>
        <w:t>1.构建节能高效综合交通运输体系</w:t>
      </w:r>
      <w:bookmarkEnd w:id="70"/>
    </w:p>
    <w:p>
      <w:pPr>
        <w:pStyle w:val="2"/>
        <w:ind w:firstLine="640"/>
        <w:rPr>
          <w:rFonts w:ascii="Times New Roman" w:hAnsi="Times New Roman"/>
          <w:sz w:val="32"/>
          <w:szCs w:val="32"/>
        </w:rPr>
      </w:pPr>
      <w:r>
        <w:rPr>
          <w:rFonts w:ascii="Times New Roman" w:hAnsi="Times New Roman"/>
          <w:sz w:val="32"/>
          <w:szCs w:val="32"/>
        </w:rPr>
        <w:t>加快建设综合立体交通网，充分发挥各种运输方式的比较优势和组合效率，推进疏港铁路、物流园区和大型企业铁路专用线项目建设，推动煤炭、矿石、粮食等大宗货物及远距离货物运输向铁路和水运有序转移，铁路和水运货运周转量占比较上年有所增长。加强城市交通综合治理，引导绿色出行，县区城市公共交通、绿色出行方式占机动化出行比例较2020年有所提升，城市公交和城市物流配送领域新能源车辆数比2020年有所增长。大力推广新能源汽车在交通领域的应用，提升电动车用电效率。推广液化天然气（LNG）动力船舶，加快完善岸电设施建设，确保完成省下达的交通运输节能目标。</w:t>
      </w:r>
    </w:p>
    <w:p>
      <w:pPr>
        <w:pStyle w:val="6"/>
        <w:ind w:firstLine="643"/>
        <w:rPr>
          <w:rFonts w:cs="Times New Roman"/>
        </w:rPr>
      </w:pPr>
      <w:bookmarkStart w:id="73" w:name="_Toc106033016"/>
      <w:r>
        <w:rPr>
          <w:rFonts w:cs="Times New Roman"/>
        </w:rPr>
        <w:t>2.逐步提升交通运输智能化水平</w:t>
      </w:r>
      <w:bookmarkEnd w:id="73"/>
    </w:p>
    <w:p>
      <w:pPr>
        <w:ind w:firstLine="640"/>
        <w:rPr>
          <w:kern w:val="0"/>
          <w:szCs w:val="32"/>
        </w:rPr>
      </w:pPr>
      <w:r>
        <w:rPr>
          <w:szCs w:val="32"/>
        </w:rPr>
        <w:t>推广交通运输节能技术，发展智能化现代公共交通体系，完善充电桩、充电站等新能源交通基础建设，加快建设智慧道路、智慧公交站、智能停车系统及智慧杆等，推行智慧交通，提高交通运输工具智能化水平。不断提高公共出行便利性，通过新闻媒体、网站、微信、微博、APP等灵活多样的方式加大绿色出行宣传教育理念，进一步引导市民优先采用</w:t>
      </w:r>
      <w:r>
        <w:rPr>
          <w:kern w:val="0"/>
          <w:szCs w:val="32"/>
        </w:rPr>
        <w:t>公交出行。</w:t>
      </w:r>
    </w:p>
    <w:tbl>
      <w:tblPr>
        <w:tblStyle w:val="16"/>
        <w:tblW w:w="793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0" w:firstLineChars="0"/>
              <w:jc w:val="center"/>
              <w:rPr>
                <w:rFonts w:eastAsia="楷体"/>
                <w:bCs/>
                <w:spacing w:val="-3"/>
                <w:szCs w:val="32"/>
              </w:rPr>
            </w:pPr>
            <w:r>
              <w:t>专栏7  绿色交通体系工程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937" w:type="dxa"/>
          </w:tcPr>
          <w:p>
            <w:pPr>
              <w:ind w:firstLine="643"/>
            </w:pPr>
            <w:r>
              <w:rPr>
                <w:b/>
              </w:rPr>
              <w:t>1、现代综合交通运输体系建设。</w:t>
            </w:r>
            <w:r>
              <w:t>提高多式联运比重，加快发展绿色货运与现代物流，支持绿色环保物流技术的推广和普及，推动建设“绿色物流”片区。倡导绿色出行，深化发展公共交通和慢行交通，提高出行信息服务能力。</w:t>
            </w:r>
          </w:p>
          <w:p>
            <w:pPr>
              <w:ind w:firstLine="643"/>
              <w:rPr>
                <w:bCs/>
                <w:spacing w:val="-3"/>
                <w:szCs w:val="32"/>
              </w:rPr>
            </w:pPr>
            <w:r>
              <w:rPr>
                <w:b/>
              </w:rPr>
              <w:t>2、推动交通运输用能方式变革</w:t>
            </w:r>
            <w:r>
              <w:t>。加快节能减排科技创新应用，推动交通用能实现多元化、清洁化、智能化和电气化。加快新能源汽车推广应用，全面推进电动汽车充电设施建设，推进充电设施标准化、充电网络互联互通，提升新能源汽车充电保障能力，研究推动氢能源汽车应用和加氢站建设。推动运输船舶LNG清洁动力和纯电动改造，全面推广港口岸电，新建、改建、扩建码头的岸电设施能配尽配。</w:t>
            </w:r>
          </w:p>
        </w:tc>
      </w:tr>
    </w:tbl>
    <w:p>
      <w:pPr>
        <w:pStyle w:val="2"/>
        <w:ind w:firstLine="420"/>
        <w:rPr>
          <w:rFonts w:ascii="Times New Roman" w:hAnsi="Times New Roman"/>
        </w:rPr>
      </w:pPr>
    </w:p>
    <w:p>
      <w:pPr>
        <w:pStyle w:val="5"/>
        <w:ind w:firstLine="0" w:firstLineChars="0"/>
        <w:jc w:val="center"/>
        <w:rPr>
          <w:rFonts w:ascii="Times New Roman" w:hAnsi="Times New Roman" w:cs="Times New Roman"/>
        </w:rPr>
      </w:pPr>
      <w:bookmarkStart w:id="74" w:name="_Toc106033017"/>
      <w:r>
        <w:rPr>
          <w:rFonts w:hint="eastAsia" w:ascii="Times New Roman" w:hAnsi="Times New Roman" w:cs="Times New Roman"/>
        </w:rPr>
        <w:t xml:space="preserve">第九节 </w:t>
      </w:r>
      <w:r>
        <w:rPr>
          <w:rFonts w:ascii="Times New Roman" w:hAnsi="Times New Roman" w:cs="Times New Roman"/>
        </w:rPr>
        <w:t xml:space="preserve"> 提升公共机构和市政园林节能</w:t>
      </w:r>
      <w:bookmarkEnd w:id="71"/>
      <w:bookmarkEnd w:id="72"/>
      <w:bookmarkEnd w:id="74"/>
    </w:p>
    <w:p>
      <w:pPr>
        <w:pStyle w:val="6"/>
        <w:ind w:firstLine="643"/>
        <w:rPr>
          <w:rFonts w:cs="Times New Roman"/>
        </w:rPr>
      </w:pPr>
      <w:bookmarkStart w:id="75" w:name="_Toc106033018"/>
      <w:bookmarkStart w:id="76" w:name="_Toc75424452"/>
      <w:bookmarkStart w:id="77" w:name="_Toc75360387"/>
      <w:r>
        <w:rPr>
          <w:rFonts w:cs="Times New Roman"/>
        </w:rPr>
        <w:t>1.提升公共机构节能管理水平</w:t>
      </w:r>
      <w:bookmarkEnd w:id="75"/>
    </w:p>
    <w:p>
      <w:pPr>
        <w:ind w:firstLine="640"/>
      </w:pPr>
      <w:r>
        <w:rPr>
          <w:szCs w:val="32"/>
        </w:rPr>
        <w:t>大力推进党政机关集中办公区、教育、科技、文化、卫生、体育等公共机构节能管理，健全能耗统计和报告制度，推动各单位建立统计台账。加快公共机构既有建筑围护结构、供热、制冷、照明等用能系统和设施设备节能改造，鼓励采用能源费用托管等合同能源管理模式。强化落实公共机构能源资源统计工作，提升能源资源消费统计水平，提升工作质量。组织开展节约型机关创建行动和国家节约型公共机构示范单位创建行动。全市70%以上县级及以上党政机关完成节约型机关创建，公共机构单位建筑面积能耗、人均能耗和人均水耗下降率达到省要求的进度目标。</w:t>
      </w:r>
    </w:p>
    <w:p>
      <w:pPr>
        <w:pStyle w:val="6"/>
        <w:ind w:firstLine="643"/>
        <w:rPr>
          <w:rFonts w:cs="Times New Roman"/>
        </w:rPr>
      </w:pPr>
      <w:bookmarkStart w:id="78" w:name="_Toc106033019"/>
      <w:r>
        <w:rPr>
          <w:rFonts w:cs="Times New Roman"/>
        </w:rPr>
        <w:t>2.深化节约型公共机构示范作用</w:t>
      </w:r>
      <w:bookmarkEnd w:id="78"/>
    </w:p>
    <w:p>
      <w:pPr>
        <w:ind w:firstLine="640"/>
        <w:rPr>
          <w:szCs w:val="32"/>
        </w:rPr>
      </w:pPr>
      <w:r>
        <w:rPr>
          <w:szCs w:val="32"/>
        </w:rPr>
        <w:t>积极开展节约型公共机构示范单位创建，促进全市各级公共机构提高能源资源利用效率。推进节水型单位创建工作，督促公共机构做好节水改造和节水技术、器具的推广应用。公共机构率先淘汰老旧车，优先采购节能和新能源汽车，新建和既有停车场要配备电动汽车充电设施或预留充电设施安装条件；公共机构应率先使用太阳能、空气能等清洁能源。</w:t>
      </w:r>
    </w:p>
    <w:p>
      <w:pPr>
        <w:pStyle w:val="6"/>
        <w:ind w:firstLine="643"/>
        <w:rPr>
          <w:rFonts w:cs="Times New Roman"/>
        </w:rPr>
      </w:pPr>
      <w:bookmarkStart w:id="79" w:name="_Toc106033020"/>
      <w:r>
        <w:rPr>
          <w:rFonts w:cs="Times New Roman"/>
        </w:rPr>
        <w:t>3.推行节约型机关创建</w:t>
      </w:r>
      <w:bookmarkEnd w:id="79"/>
    </w:p>
    <w:p>
      <w:pPr>
        <w:ind w:firstLine="640"/>
        <w:rPr>
          <w:szCs w:val="32"/>
        </w:rPr>
      </w:pPr>
      <w:r>
        <w:rPr>
          <w:szCs w:val="32"/>
        </w:rPr>
        <w:t>“十四五”推动节约型机关创建，引导党政机关健全节约能源资源管理机制，提高能源资源利用效率，推行绿色办公，全面实行生活垃圾分类制度，增加新能源汽车充电设施配套，为全社会节能低碳意识建立起带头作用。</w:t>
      </w:r>
    </w:p>
    <w:p>
      <w:pPr>
        <w:pStyle w:val="6"/>
        <w:ind w:firstLine="643"/>
        <w:rPr>
          <w:rFonts w:cs="Times New Roman"/>
        </w:rPr>
      </w:pPr>
      <w:bookmarkStart w:id="80" w:name="_Toc106033021"/>
      <w:r>
        <w:rPr>
          <w:rFonts w:cs="Times New Roman"/>
        </w:rPr>
        <w:t>4.加强市政园林照明节能</w:t>
      </w:r>
      <w:bookmarkEnd w:id="80"/>
    </w:p>
    <w:p>
      <w:pPr>
        <w:ind w:firstLine="640"/>
        <w:rPr>
          <w:szCs w:val="32"/>
        </w:rPr>
      </w:pPr>
      <w:r>
        <w:rPr>
          <w:szCs w:val="32"/>
        </w:rPr>
        <w:t>加强园林、市政运转管护项目的用电管理，包括：道路、公园广场、社区的公共照明、景点楼宇景观亮化照明、市政喷泉运转、公益活动、公益广告用电等项目。大力推广应用节能新技术新产品：规划建设智能化路灯无线监控管理系统，实现按照季节气候变化的日出日落时间，自动化动态调整亮灯/熄灯时间，精细化管理照明时间；逐步用LED路灯替换钠灯路灯。实施管理节能措施：缩减节日期间景观用电，非节日期间景观用电缩减时长三分之一以上；实行在下半夜路灯间隔亮灯或单边亮灯的节电措施。</w:t>
      </w:r>
    </w:p>
    <w:p>
      <w:pPr>
        <w:pStyle w:val="2"/>
        <w:ind w:firstLine="420"/>
        <w:rPr>
          <w:rFonts w:ascii="Times New Roman" w:hAnsi="Times New Roman"/>
        </w:rPr>
      </w:pPr>
    </w:p>
    <w:tbl>
      <w:tblPr>
        <w:tblStyle w:val="16"/>
        <w:tblW w:w="7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7979" w:type="dxa"/>
            <w:vAlign w:val="center"/>
          </w:tcPr>
          <w:p>
            <w:pPr>
              <w:spacing w:line="360" w:lineRule="exact"/>
              <w:ind w:firstLine="1" w:firstLineChars="0"/>
              <w:jc w:val="center"/>
              <w:rPr>
                <w:rFonts w:eastAsia="方正仿宋简体"/>
                <w:sz w:val="28"/>
                <w:szCs w:val="28"/>
              </w:rPr>
            </w:pPr>
            <w:r>
              <w:t xml:space="preserve">专栏8  </w:t>
            </w:r>
            <w:r>
              <w:rPr>
                <w:bCs/>
                <w:spacing w:val="-3"/>
                <w:szCs w:val="32"/>
              </w:rPr>
              <w:t>节约型机关创建</w:t>
            </w:r>
            <w: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8" w:hRule="atLeast"/>
          <w:jc w:val="center"/>
        </w:trPr>
        <w:tc>
          <w:tcPr>
            <w:tcW w:w="7979" w:type="dxa"/>
          </w:tcPr>
          <w:p>
            <w:pPr>
              <w:adjustRightInd w:val="0"/>
              <w:snapToGrid w:val="0"/>
              <w:spacing w:line="579" w:lineRule="exact"/>
              <w:ind w:firstLine="643"/>
              <w:rPr>
                <w:bCs/>
                <w:spacing w:val="-3"/>
                <w:szCs w:val="32"/>
              </w:rPr>
            </w:pPr>
            <w:r>
              <w:rPr>
                <w:b/>
              </w:rPr>
              <w:t>1、创建节约型机关。</w:t>
            </w:r>
            <w:r>
              <w:rPr>
                <w:bCs/>
                <w:spacing w:val="-3"/>
                <w:szCs w:val="32"/>
              </w:rPr>
              <w:t>推动全市党政机关厉行勤俭节约，引导干部职工养成简约适度、绿色低碳的生活和工作方式，形成崇尚绿色生活的良好氛围。</w:t>
            </w:r>
            <w:r>
              <w:rPr>
                <w:szCs w:val="32"/>
              </w:rPr>
              <w:t>组织开展节约型机关创建行动和国家节约型公共机构示范单位创建行动，</w:t>
            </w:r>
            <w:r>
              <w:rPr>
                <w:bCs/>
                <w:spacing w:val="-3"/>
                <w:szCs w:val="32"/>
              </w:rPr>
              <w:t>要求到2022年末，</w:t>
            </w:r>
            <w:r>
              <w:rPr>
                <w:szCs w:val="32"/>
              </w:rPr>
              <w:t>全市70%以上党政机关完成节约型机关创建，公共机构单位建筑面积能耗和人均能耗下降率达到国家要求的进度目标。</w:t>
            </w:r>
          </w:p>
          <w:p>
            <w:pPr>
              <w:adjustRightInd w:val="0"/>
              <w:snapToGrid w:val="0"/>
              <w:spacing w:line="579" w:lineRule="exact"/>
              <w:ind w:firstLine="643"/>
              <w:rPr>
                <w:bCs/>
                <w:spacing w:val="-3"/>
                <w:szCs w:val="32"/>
              </w:rPr>
            </w:pPr>
            <w:r>
              <w:rPr>
                <w:b/>
              </w:rPr>
              <w:t>2、创建节约型公共机构示范单位。</w:t>
            </w:r>
            <w:r>
              <w:rPr>
                <w:szCs w:val="32"/>
              </w:rPr>
              <w:t>加快公共机构既有建筑围护结构、供热、制冷、照明等用能系统和设施设备节能改造，鼓励采用能源费用托管等合同能源管理模式。</w:t>
            </w:r>
            <w:r>
              <w:rPr>
                <w:bCs/>
                <w:spacing w:val="-3"/>
                <w:szCs w:val="32"/>
              </w:rPr>
              <w:t>落实国家节约型公共机构示范创建任务，开展节约型公共机构示范创建行动，实现“镇镇有示范”目标；开展公共机构能效、水效领跑者引领行动，树立先进标杆，强化公共机构节能示范。</w:t>
            </w:r>
          </w:p>
        </w:tc>
      </w:tr>
    </w:tbl>
    <w:p>
      <w:pPr>
        <w:pStyle w:val="5"/>
        <w:ind w:firstLine="643"/>
        <w:jc w:val="center"/>
        <w:rPr>
          <w:rFonts w:ascii="Times New Roman" w:hAnsi="Times New Roman" w:cs="Times New Roman"/>
        </w:rPr>
      </w:pPr>
      <w:bookmarkStart w:id="81" w:name="_Toc106033022"/>
      <w:r>
        <w:rPr>
          <w:rFonts w:hint="eastAsia" w:ascii="Times New Roman" w:hAnsi="Times New Roman" w:cs="Times New Roman"/>
        </w:rPr>
        <w:t xml:space="preserve">第十节 </w:t>
      </w:r>
      <w:r>
        <w:rPr>
          <w:rFonts w:ascii="Times New Roman" w:hAnsi="Times New Roman" w:cs="Times New Roman"/>
        </w:rPr>
        <w:t xml:space="preserve"> 推广农业农村节能</w:t>
      </w:r>
      <w:bookmarkEnd w:id="76"/>
      <w:bookmarkEnd w:id="77"/>
      <w:bookmarkEnd w:id="81"/>
    </w:p>
    <w:p>
      <w:pPr>
        <w:pStyle w:val="6"/>
        <w:ind w:firstLine="643"/>
        <w:rPr>
          <w:rFonts w:cs="Times New Roman"/>
        </w:rPr>
      </w:pPr>
      <w:bookmarkStart w:id="82" w:name="_Toc106033023"/>
      <w:r>
        <w:rPr>
          <w:rFonts w:cs="Times New Roman"/>
        </w:rPr>
        <w:t>1.积极发展现代化农业</w:t>
      </w:r>
      <w:bookmarkEnd w:id="82"/>
    </w:p>
    <w:p>
      <w:pPr>
        <w:ind w:firstLine="640"/>
        <w:rPr>
          <w:szCs w:val="32"/>
        </w:rPr>
      </w:pPr>
      <w:r>
        <w:rPr>
          <w:szCs w:val="32"/>
        </w:rPr>
        <w:t>推动农业向标准化、规模化、绿色化、品牌化转型，稳步提高农业农村产品附加值，大力扶持农业优势特色产业</w:t>
      </w:r>
      <w:r>
        <w:rPr>
          <w:spacing w:val="-6"/>
        </w:rPr>
        <w:t>。</w:t>
      </w:r>
      <w:r>
        <w:rPr>
          <w:spacing w:val="-11"/>
        </w:rPr>
        <w:t>完善主要农渔业产品生产管理、</w:t>
      </w:r>
      <w:r>
        <w:rPr>
          <w:spacing w:val="-6"/>
        </w:rPr>
        <w:t>种苗繁育和加工储运标准。</w:t>
      </w:r>
      <w:r>
        <w:rPr>
          <w:szCs w:val="32"/>
        </w:rPr>
        <w:t>建设农渔业产品质量安全溯源管理平台</w:t>
      </w:r>
      <w:r>
        <w:rPr>
          <w:spacing w:val="-12"/>
        </w:rPr>
        <w:t>，打造区域公用品牌和企业</w:t>
      </w:r>
      <w:r>
        <w:rPr>
          <w:spacing w:val="-13"/>
        </w:rPr>
        <w:t>产品品牌。</w:t>
      </w:r>
      <w:r>
        <w:rPr>
          <w:szCs w:val="32"/>
        </w:rPr>
        <w:t>发展乡村旅游及康养业，培育各类特色小镇，依托特色农产品生产基地、生态公园等旅游景点设立，建设一批农业观光与乡村旅游线路，打造一批集成现代农业、文化旅游、美丽乡村为一体的旅游融合发展示范区。</w:t>
      </w:r>
    </w:p>
    <w:p>
      <w:pPr>
        <w:pStyle w:val="6"/>
        <w:ind w:firstLine="643"/>
        <w:rPr>
          <w:rFonts w:cs="Times New Roman"/>
        </w:rPr>
      </w:pPr>
      <w:bookmarkStart w:id="83" w:name="_Toc106033024"/>
      <w:r>
        <w:rPr>
          <w:rFonts w:cs="Times New Roman"/>
        </w:rPr>
        <w:t>2.推广节能低耗智能化农业装备技术</w:t>
      </w:r>
      <w:bookmarkEnd w:id="83"/>
    </w:p>
    <w:p>
      <w:pPr>
        <w:ind w:firstLine="640"/>
        <w:rPr>
          <w:szCs w:val="32"/>
        </w:rPr>
      </w:pPr>
      <w:r>
        <w:rPr>
          <w:szCs w:val="32"/>
        </w:rPr>
        <w:t>因地制宜采用生物质能、太阳能解决农村照明、炊事、生活热水等用能需求。鼓励发展环保沼气利用工程，减少农村散煤使用量，提升农村能源利用清洁化水平，改善农村人居环境。加快淘汰老旧农业机械，推广农用节能机械、设备和渔船。大力推动新能源汽车下乡，提升农村新能源交通运用。</w:t>
      </w:r>
    </w:p>
    <w:p>
      <w:pPr>
        <w:pStyle w:val="6"/>
        <w:ind w:firstLine="643"/>
        <w:rPr>
          <w:rFonts w:cs="Times New Roman"/>
        </w:rPr>
      </w:pPr>
      <w:bookmarkStart w:id="84" w:name="_Toc106033025"/>
      <w:r>
        <w:rPr>
          <w:rFonts w:cs="Times New Roman"/>
        </w:rPr>
        <w:t>3.建设生态宜居美丽乡村</w:t>
      </w:r>
      <w:bookmarkEnd w:id="84"/>
    </w:p>
    <w:p>
      <w:pPr>
        <w:ind w:firstLine="640"/>
        <w:rPr>
          <w:b/>
          <w:bCs/>
          <w:szCs w:val="32"/>
        </w:rPr>
      </w:pPr>
      <w:r>
        <w:rPr>
          <w:szCs w:val="32"/>
        </w:rPr>
        <w:t>加快农村基础设施完善，以生活垃圾、生活污水集中处理为重点继续推进“三清三拆三整治”活动，深入整治农村人居环境，不断提升全国生态文明示范村占比。推进农村“厕所革命”，大力开展农村户用卫生厕所建设和改造，同步实施粪污治理及综合利用，加快实现农村无害化卫生厕所全覆盖。积极开展节能低碳宣传，普及低碳节能环保知识，提高农村居民节能环保意识，共同建设低碳绿色美丽乡村。</w:t>
      </w:r>
    </w:p>
    <w:p>
      <w:pPr>
        <w:pStyle w:val="6"/>
        <w:ind w:firstLine="643"/>
        <w:rPr>
          <w:rFonts w:cs="Times New Roman"/>
        </w:rPr>
      </w:pPr>
      <w:bookmarkStart w:id="85" w:name="_Toc106033026"/>
      <w:r>
        <w:rPr>
          <w:rFonts w:cs="Times New Roman"/>
        </w:rPr>
        <w:t>4.推进农村清洁能源开发利用</w:t>
      </w:r>
      <w:bookmarkEnd w:id="85"/>
    </w:p>
    <w:p>
      <w:pPr>
        <w:ind w:firstLine="640"/>
        <w:rPr>
          <w:szCs w:val="32"/>
        </w:rPr>
      </w:pPr>
      <w:r>
        <w:rPr>
          <w:szCs w:val="32"/>
        </w:rPr>
        <w:t>加快新一轮农村电网改造升级，推进农村清洁能源开发利用。有序推进煤改气、煤改电，充分利用农村资源加快推动可再生能源分布式应用。探索农村可再生能源开发利用模式，重点开展太阳能光热应用、畜禽排泄物能源化利用、发展沼气工程等，以此减少农村其他不可再生能源消耗，在节电及煤炭等资源的同时，切实推动农村清洁能源的可再生开发利用。</w:t>
      </w:r>
    </w:p>
    <w:p>
      <w:pPr>
        <w:pStyle w:val="5"/>
        <w:ind w:firstLine="0" w:firstLineChars="0"/>
        <w:jc w:val="center"/>
        <w:rPr>
          <w:rFonts w:ascii="Times New Roman" w:hAnsi="Times New Roman" w:cs="Times New Roman"/>
        </w:rPr>
      </w:pPr>
      <w:bookmarkStart w:id="86" w:name="_Toc75424453"/>
      <w:bookmarkStart w:id="87" w:name="_Toc80405915"/>
      <w:bookmarkStart w:id="88" w:name="_Toc75360388"/>
      <w:bookmarkStart w:id="89" w:name="_Toc106033027"/>
      <w:r>
        <w:rPr>
          <w:rFonts w:hint="eastAsia" w:ascii="Times New Roman" w:hAnsi="Times New Roman" w:cs="Times New Roman"/>
        </w:rPr>
        <w:t xml:space="preserve">第十一节 </w:t>
      </w:r>
      <w:r>
        <w:rPr>
          <w:rFonts w:ascii="Times New Roman" w:hAnsi="Times New Roman" w:cs="Times New Roman"/>
        </w:rPr>
        <w:t xml:space="preserve"> 实施商贸流通节能</w:t>
      </w:r>
      <w:bookmarkEnd w:id="86"/>
      <w:bookmarkEnd w:id="87"/>
      <w:bookmarkEnd w:id="88"/>
      <w:bookmarkEnd w:id="89"/>
    </w:p>
    <w:p>
      <w:pPr>
        <w:pStyle w:val="6"/>
        <w:ind w:firstLine="643"/>
        <w:rPr>
          <w:rFonts w:cs="Times New Roman"/>
        </w:rPr>
      </w:pPr>
      <w:bookmarkStart w:id="90" w:name="_Toc106033028"/>
      <w:r>
        <w:rPr>
          <w:rFonts w:cs="Times New Roman"/>
        </w:rPr>
        <w:t>1.消费流通节能</w:t>
      </w:r>
      <w:bookmarkEnd w:id="90"/>
    </w:p>
    <w:p>
      <w:pPr>
        <w:spacing w:line="600" w:lineRule="exact"/>
        <w:ind w:firstLine="640"/>
        <w:rPr>
          <w:szCs w:val="32"/>
        </w:rPr>
      </w:pPr>
      <w:r>
        <w:rPr>
          <w:szCs w:val="32"/>
        </w:rPr>
        <w:t>大力推动服务业转型升级，密切监测用电量增长过快的服务行业，严控不合理用电行为，大力推广高效节电设施设备，加强节约用电宣传，增强商户节能意识，倡导节约、节俭、节能消费习惯，鼓励批发、零售、酒店、住宿、餐饮、仓储、物流等行业开展能源管理体系建设和节能改造，以建筑面积10万平方米(含)以上的大型商场为主体</w:t>
      </w:r>
      <w:r>
        <w:rPr>
          <w:rFonts w:hint="eastAsia"/>
          <w:szCs w:val="32"/>
        </w:rPr>
        <w:t>，</w:t>
      </w:r>
      <w:r>
        <w:rPr>
          <w:szCs w:val="32"/>
        </w:rPr>
        <w:t>持续开展绿色商场创建工作</w:t>
      </w:r>
      <w:r>
        <w:rPr>
          <w:rFonts w:hint="eastAsia"/>
          <w:szCs w:val="32"/>
        </w:rPr>
        <w:t>，</w:t>
      </w:r>
      <w:r>
        <w:rPr>
          <w:szCs w:val="32"/>
        </w:rPr>
        <w:t>畅通绿色产品流通渠道</w:t>
      </w:r>
      <w:r>
        <w:rPr>
          <w:rFonts w:hint="eastAsia"/>
          <w:szCs w:val="32"/>
        </w:rPr>
        <w:t>，</w:t>
      </w:r>
      <w:r>
        <w:rPr>
          <w:szCs w:val="32"/>
        </w:rPr>
        <w:t>全面清理新能源汽车、绿色建筑、节能家电等绿色产品消费领域存在的地方保护和行业壁垒。</w:t>
      </w:r>
    </w:p>
    <w:p>
      <w:pPr>
        <w:pStyle w:val="6"/>
        <w:spacing w:line="600" w:lineRule="exact"/>
        <w:ind w:firstLine="643"/>
        <w:rPr>
          <w:rFonts w:cs="Times New Roman"/>
        </w:rPr>
      </w:pPr>
      <w:bookmarkStart w:id="91" w:name="_Toc106033029"/>
      <w:r>
        <w:rPr>
          <w:rFonts w:cs="Times New Roman"/>
        </w:rPr>
        <w:t>2.推进绿色管理与节能改造</w:t>
      </w:r>
      <w:bookmarkEnd w:id="91"/>
    </w:p>
    <w:p>
      <w:pPr>
        <w:spacing w:line="600" w:lineRule="exact"/>
        <w:ind w:firstLine="640"/>
      </w:pPr>
      <w:r>
        <w:rPr>
          <w:szCs w:val="32"/>
        </w:rPr>
        <w:t>畅通绿色产品流通渠道，全面清理新能源汽车、绿色建筑、节能家电等绿色产品消费领域存在的地方保护和行业壁垒。扩大政府绿色采购覆盖范围，党政机关、事业单位和国有企业带头优先采购使用绿色产品。鼓励批发、零售、住宿、餐饮、物流等行业开展能源管理体系建设和节能改造。以建筑面积10万平方米（含）以上的大型商场为主体，持续开展绿色商场创建工作。</w:t>
      </w:r>
    </w:p>
    <w:p>
      <w:pPr>
        <w:pStyle w:val="6"/>
        <w:spacing w:line="600" w:lineRule="exact"/>
        <w:ind w:firstLine="643"/>
        <w:rPr>
          <w:rFonts w:cs="Times New Roman"/>
        </w:rPr>
      </w:pPr>
      <w:bookmarkStart w:id="92" w:name="_Toc106033030"/>
      <w:r>
        <w:rPr>
          <w:rFonts w:cs="Times New Roman"/>
        </w:rPr>
        <w:t>3.加快绿色仓储建设</w:t>
      </w:r>
      <w:bookmarkEnd w:id="92"/>
    </w:p>
    <w:p>
      <w:pPr>
        <w:spacing w:line="600" w:lineRule="exact"/>
        <w:ind w:firstLine="640"/>
        <w:rPr>
          <w:sz w:val="28"/>
          <w:szCs w:val="32"/>
        </w:rPr>
      </w:pPr>
      <w:r>
        <w:t>建设大型综合物流园，打造为大湾区物流枢纽中心。鼓励商贸流通企业设置绿色产品专柜，开展绿色商贸流通企业示范；加快绿色仓储建设，支持仓储设施利用太阳能等清洁能源，鼓励建设绿色物流园区。</w:t>
      </w:r>
      <w:r>
        <w:rPr>
          <w:sz w:val="28"/>
          <w:szCs w:val="32"/>
        </w:rPr>
        <w:br w:type="page"/>
      </w:r>
    </w:p>
    <w:p>
      <w:pPr>
        <w:pStyle w:val="3"/>
        <w:jc w:val="center"/>
        <w:rPr>
          <w:rFonts w:ascii="Times New Roman" w:hAnsi="Times New Roman"/>
          <w:color w:val="auto"/>
        </w:rPr>
      </w:pPr>
      <w:bookmarkStart w:id="93" w:name="_Toc106033031"/>
      <w:r>
        <w:rPr>
          <w:rFonts w:hint="eastAsia" w:ascii="Times New Roman" w:hAnsi="Times New Roman"/>
          <w:color w:val="auto"/>
        </w:rPr>
        <w:t xml:space="preserve">第五章 </w:t>
      </w:r>
      <w:r>
        <w:rPr>
          <w:rFonts w:ascii="Times New Roman" w:hAnsi="Times New Roman"/>
          <w:color w:val="auto"/>
        </w:rPr>
        <w:t xml:space="preserve"> 节能保障措施</w:t>
      </w:r>
      <w:bookmarkEnd w:id="93"/>
    </w:p>
    <w:p>
      <w:pPr>
        <w:pStyle w:val="5"/>
        <w:ind w:firstLine="0" w:firstLineChars="0"/>
        <w:jc w:val="center"/>
        <w:rPr>
          <w:rFonts w:ascii="Times New Roman" w:hAnsi="Times New Roman" w:cs="Times New Roman"/>
        </w:rPr>
      </w:pPr>
      <w:bookmarkStart w:id="94" w:name="_Toc80405917"/>
      <w:bookmarkStart w:id="95" w:name="_Toc106033032"/>
      <w:r>
        <w:rPr>
          <w:rFonts w:hint="eastAsia" w:ascii="Times New Roman" w:hAnsi="Times New Roman" w:cs="Times New Roman"/>
        </w:rPr>
        <w:t xml:space="preserve">第一节 </w:t>
      </w:r>
      <w:r>
        <w:rPr>
          <w:rFonts w:ascii="Times New Roman" w:hAnsi="Times New Roman" w:cs="Times New Roman"/>
        </w:rPr>
        <w:t xml:space="preserve"> 加强组织领导</w:t>
      </w:r>
      <w:bookmarkEnd w:id="94"/>
      <w:bookmarkEnd w:id="95"/>
    </w:p>
    <w:p>
      <w:pPr>
        <w:ind w:firstLine="640"/>
      </w:pPr>
      <w:r>
        <w:rPr>
          <w:szCs w:val="32"/>
        </w:rPr>
        <w:t>充分发挥市节能减排领导小组作用，实行目标管理责任</w:t>
      </w:r>
      <w:r>
        <w:t>制，各职能部门要密切配合，形成合力，在各自的责职范围内推进节能工作。</w:t>
      </w:r>
      <w:r>
        <w:rPr>
          <w:szCs w:val="32"/>
        </w:rPr>
        <w:t>进一步加大节能工作力度</w:t>
      </w:r>
      <w:r>
        <w:t>，加强对全市节能降耗工作的指导，针对全市节能降耗中出现的具体问题，及时协商、研究并进行具体推动，促进节能降耗工作的有序开展。各县区政府及部门须高度重视节能工作，协调整合各类资源，研究解决工作推进中的重大问题，切实抓好重点项目的组织推进工作。建立《规划》主要任务落实情况督促检查和第三方评价机制，完善绩效评估、动态调整和监督考核机制。建立《规划》中期评估机制，合力推动完成“十四五”能耗“双控”目标任务。</w:t>
      </w:r>
      <w:bookmarkStart w:id="96" w:name="copy_to2"/>
      <w:bookmarkEnd w:id="96"/>
    </w:p>
    <w:p>
      <w:pPr>
        <w:pStyle w:val="5"/>
        <w:ind w:firstLine="0" w:firstLineChars="0"/>
        <w:jc w:val="center"/>
        <w:rPr>
          <w:rFonts w:ascii="Times New Roman" w:hAnsi="Times New Roman" w:cs="Times New Roman"/>
        </w:rPr>
      </w:pPr>
      <w:bookmarkStart w:id="97" w:name="_Toc80405918"/>
      <w:bookmarkStart w:id="98" w:name="_Toc106033033"/>
      <w:r>
        <w:rPr>
          <w:rFonts w:hint="eastAsia" w:ascii="Times New Roman" w:hAnsi="Times New Roman" w:cs="Times New Roman"/>
        </w:rPr>
        <w:t xml:space="preserve">第二节 </w:t>
      </w:r>
      <w:r>
        <w:rPr>
          <w:rFonts w:ascii="Times New Roman" w:hAnsi="Times New Roman" w:cs="Times New Roman"/>
        </w:rPr>
        <w:t xml:space="preserve"> 进一步强化节能目标责任制</w:t>
      </w:r>
      <w:bookmarkEnd w:id="97"/>
      <w:bookmarkEnd w:id="98"/>
    </w:p>
    <w:p>
      <w:pPr>
        <w:ind w:firstLine="640"/>
        <w:rPr>
          <w:szCs w:val="32"/>
        </w:rPr>
      </w:pPr>
      <w:r>
        <w:rPr>
          <w:szCs w:val="32"/>
        </w:rPr>
        <w:t>强化节能约束性指标考核，细化节能专规规划实施责任，各县区政府对本行政区“双控”工作负总责，探索节能责任部门评价制度，将落实节能工作情况纳入部门绩效考核范围，市政府按规定组织开展县区政府节能目标责任评价考核并公告考核结果。强化能耗双控考核结果应用，考核结果作为领导班子和领导干部考核和离任审计重要依据，对节能工作不力、能耗问题突出的地区和单位，及时通报约谈，并按国家要求依法依规予以问责，实行高能耗项目缓批限批。</w:t>
      </w:r>
    </w:p>
    <w:p>
      <w:pPr>
        <w:pStyle w:val="5"/>
        <w:ind w:firstLine="0" w:firstLineChars="0"/>
        <w:jc w:val="center"/>
        <w:rPr>
          <w:rFonts w:ascii="Times New Roman" w:hAnsi="Times New Roman" w:cs="Times New Roman"/>
        </w:rPr>
      </w:pPr>
      <w:bookmarkStart w:id="99" w:name="_Toc106033034"/>
      <w:bookmarkStart w:id="100" w:name="_Toc80405919"/>
      <w:r>
        <w:rPr>
          <w:rFonts w:hint="eastAsia" w:ascii="Times New Roman" w:hAnsi="Times New Roman" w:cs="Times New Roman"/>
        </w:rPr>
        <w:t xml:space="preserve">第三节 </w:t>
      </w:r>
      <w:r>
        <w:rPr>
          <w:rFonts w:ascii="Times New Roman" w:hAnsi="Times New Roman" w:cs="Times New Roman"/>
        </w:rPr>
        <w:t xml:space="preserve"> 加强节能执法监察</w:t>
      </w:r>
      <w:bookmarkEnd w:id="99"/>
      <w:bookmarkEnd w:id="100"/>
    </w:p>
    <w:p>
      <w:pPr>
        <w:ind w:firstLine="640"/>
      </w:pPr>
      <w:bookmarkStart w:id="101" w:name="_Toc80405920"/>
      <w:r>
        <w:rPr>
          <w:szCs w:val="32"/>
        </w:rPr>
        <w:t>加强市、县（区）两级执法队伍和能力建设，严格查处违法违规用能行为。制定节能监察年度计划，全面开展“两高”行业强制性节能标准执行情况检查，对超过单位产品能耗限额标准用能的生产单位责令限期整改；不能整改的，依法依规予以关停。强化节能审查事中事后监管，对未取得节能审查意见或节能审查未通过，擅自开工建设或投产的项目，以及把关不严、落实节能审查意见不力的项目，严格按要求进行限期整改。加大“散乱污”等企业的查处力度，全面坚决清理违规用能、排放黑点。实行执法责任制，强化执法问责，对行政不作为、执法不严等行为，严肃追究有关部门和执法机构责任。</w:t>
      </w:r>
    </w:p>
    <w:p>
      <w:pPr>
        <w:pStyle w:val="5"/>
        <w:ind w:firstLine="0" w:firstLineChars="0"/>
        <w:jc w:val="center"/>
        <w:rPr>
          <w:rFonts w:ascii="Times New Roman" w:hAnsi="Times New Roman" w:cs="Times New Roman"/>
        </w:rPr>
      </w:pPr>
      <w:bookmarkStart w:id="102" w:name="_Toc106033035"/>
      <w:r>
        <w:rPr>
          <w:rFonts w:hint="eastAsia" w:ascii="Times New Roman" w:hAnsi="Times New Roman" w:cs="Times New Roman"/>
        </w:rPr>
        <w:t xml:space="preserve">第四节 </w:t>
      </w:r>
      <w:r>
        <w:rPr>
          <w:rFonts w:ascii="Times New Roman" w:hAnsi="Times New Roman" w:cs="Times New Roman"/>
        </w:rPr>
        <w:t xml:space="preserve"> 加强能耗分析和预警调控</w:t>
      </w:r>
      <w:bookmarkEnd w:id="101"/>
      <w:bookmarkEnd w:id="102"/>
    </w:p>
    <w:p>
      <w:pPr>
        <w:ind w:firstLine="640"/>
      </w:pPr>
      <w:r>
        <w:rPr>
          <w:szCs w:val="32"/>
        </w:rPr>
        <w:t>建立能耗双控季度分析机制，加强节能形势分析。建立能源消费总量预测预警机制，跟踪监测各地区能源消费总量和高耗能行业用电量等指标，对能源消费总量增长过快的地区及时预警。编制出台节能调控预案，明确重点调控地区和重点调控企业名单，分别对新建成高耗能项目、已投产高</w:t>
      </w:r>
      <w:r>
        <w:rPr>
          <w:bCs/>
          <w:szCs w:val="32"/>
        </w:rPr>
        <w:t>耗</w:t>
      </w:r>
      <w:r>
        <w:rPr>
          <w:szCs w:val="32"/>
        </w:rPr>
        <w:t>能项目、在运行限制类行业项目提出相应的管控措施，确保完成年度节能指标。在工业、建筑、交通运输、公共机构以及城乡建设和消费领域全面加强用能管理，切实改变敞开口子供应能源、无节制使用能源的现象。结合本地实际，按照“有保有压”方式制定能耗预警调控方案。根据能耗预测预警情况适时启动能耗预警调控措施。</w:t>
      </w:r>
    </w:p>
    <w:p>
      <w:pPr>
        <w:pStyle w:val="5"/>
        <w:ind w:firstLine="0" w:firstLineChars="0"/>
        <w:jc w:val="center"/>
        <w:rPr>
          <w:rFonts w:ascii="Times New Roman" w:hAnsi="Times New Roman" w:cs="Times New Roman"/>
        </w:rPr>
      </w:pPr>
      <w:bookmarkStart w:id="103" w:name="_Toc80405921"/>
      <w:bookmarkStart w:id="104" w:name="_Toc106033036"/>
      <w:r>
        <w:rPr>
          <w:rFonts w:hint="eastAsia" w:ascii="Times New Roman" w:hAnsi="Times New Roman" w:cs="Times New Roman"/>
        </w:rPr>
        <w:t xml:space="preserve">第五节 </w:t>
      </w:r>
      <w:r>
        <w:rPr>
          <w:rFonts w:ascii="Times New Roman" w:hAnsi="Times New Roman" w:cs="Times New Roman"/>
        </w:rPr>
        <w:t xml:space="preserve"> 完善</w:t>
      </w:r>
      <w:r>
        <w:rPr>
          <w:rFonts w:ascii="Times New Roman" w:hAnsi="Times New Roman" w:cs="Times New Roman"/>
          <w:szCs w:val="24"/>
        </w:rPr>
        <w:t>价格、财税</w:t>
      </w:r>
      <w:r>
        <w:rPr>
          <w:rFonts w:ascii="Times New Roman" w:hAnsi="Times New Roman" w:cs="Times New Roman"/>
        </w:rPr>
        <w:t>支持政策</w:t>
      </w:r>
      <w:bookmarkEnd w:id="103"/>
      <w:bookmarkEnd w:id="104"/>
    </w:p>
    <w:p>
      <w:pPr>
        <w:ind w:firstLine="640"/>
        <w:rPr>
          <w:szCs w:val="32"/>
        </w:rPr>
      </w:pPr>
      <w:r>
        <w:rPr>
          <w:szCs w:val="32"/>
        </w:rPr>
        <w:t>加大节能降耗相关资金统筹力度，发挥财政资金带动作用引导社会资本投入节能重点工程、重点项目和关键共性技术研发。强化节能企业所得税、增值税优惠政策执行，充分发挥税收对节能工作的重要作用。建立“两高一资”产品出口管控清单，落实好财政部、国家税务总局关于取消“两高一资”产品出口退税的相关政策。</w:t>
      </w:r>
    </w:p>
    <w:p>
      <w:pPr>
        <w:pStyle w:val="5"/>
        <w:ind w:firstLine="0" w:firstLineChars="0"/>
        <w:jc w:val="center"/>
        <w:rPr>
          <w:rFonts w:ascii="Times New Roman" w:hAnsi="Times New Roman" w:cs="Times New Roman"/>
        </w:rPr>
      </w:pPr>
      <w:bookmarkStart w:id="105" w:name="_Toc80405922"/>
      <w:bookmarkStart w:id="106" w:name="_Toc106033037"/>
      <w:r>
        <w:rPr>
          <w:rFonts w:hint="eastAsia" w:ascii="Times New Roman" w:hAnsi="Times New Roman" w:cs="Times New Roman"/>
        </w:rPr>
        <w:t xml:space="preserve">第六节 </w:t>
      </w:r>
      <w:r>
        <w:rPr>
          <w:rFonts w:ascii="Times New Roman" w:hAnsi="Times New Roman" w:cs="Times New Roman"/>
        </w:rPr>
        <w:t xml:space="preserve"> 拓宽节能投融资渠道</w:t>
      </w:r>
      <w:bookmarkEnd w:id="105"/>
      <w:bookmarkEnd w:id="106"/>
    </w:p>
    <w:p>
      <w:pPr>
        <w:ind w:firstLine="640"/>
        <w:rPr>
          <w:szCs w:val="32"/>
        </w:rPr>
      </w:pPr>
      <w:bookmarkStart w:id="107" w:name="_Toc80405923"/>
      <w:r>
        <w:rPr>
          <w:szCs w:val="32"/>
        </w:rPr>
        <w:t>优化信贷结构，严格审核"两高"项目融资申请，对产能过剩、落后产能以及"两高"行业严格授信管理，加快金融产品和服务创新，加强对节能技术推广目录项目、节能重点工程项目的融资支持，支持省内企业通过兼并重组淘汰落后产能，大力发展绿色金融，进一步推广绿色信贷、绿色债券，创新绿色保险和环境权益交易金融产品。</w:t>
      </w:r>
    </w:p>
    <w:p>
      <w:pPr>
        <w:pStyle w:val="5"/>
        <w:ind w:firstLine="0" w:firstLineChars="0"/>
        <w:jc w:val="center"/>
        <w:rPr>
          <w:rFonts w:ascii="Times New Roman" w:hAnsi="Times New Roman" w:cs="Times New Roman"/>
        </w:rPr>
      </w:pPr>
      <w:bookmarkStart w:id="108" w:name="_Toc106033038"/>
      <w:r>
        <w:rPr>
          <w:rFonts w:hint="eastAsia" w:ascii="Times New Roman" w:hAnsi="Times New Roman" w:cs="Times New Roman"/>
        </w:rPr>
        <w:t xml:space="preserve">第七节 </w:t>
      </w:r>
      <w:r>
        <w:rPr>
          <w:rFonts w:ascii="Times New Roman" w:hAnsi="Times New Roman" w:cs="Times New Roman"/>
        </w:rPr>
        <w:t xml:space="preserve"> 倡导全社会参与节能降耗</w:t>
      </w:r>
      <w:bookmarkEnd w:id="107"/>
      <w:bookmarkEnd w:id="108"/>
    </w:p>
    <w:p>
      <w:pPr>
        <w:ind w:firstLine="640"/>
        <w:rPr>
          <w:szCs w:val="32"/>
        </w:rPr>
      </w:pPr>
      <w:r>
        <w:rPr>
          <w:szCs w:val="32"/>
        </w:rPr>
        <w:t>充分发挥电视、广播、报纸等传统媒体优势，积极运用网络、微信、微博等新兴媒体，加大宣传力度，深入宣传节能低碳理念和知识。开展节能宣传活动，开设专栏宣传节能技术，展示节能知识，倡导节能意识，营造良好舆论氛围。加强日常节能宣传教育，组织好节能宣传月、低碳日等主题宣传活动。深入开展全民节约行动和节能“进机关、进单位、进企业、进学校、进社区”等活动。发展节能公益事业，鼓励公众参与节能减排公益活动。不断提高公共出行便利性，通过新闻媒体、网站、微信、微博、APP等灵活多样的方式加大绿色出行宣传教育理念，进一步引导市民优先采用公交出行。</w:t>
      </w:r>
    </w:p>
    <w:p>
      <w:pPr>
        <w:pStyle w:val="5"/>
        <w:ind w:firstLine="0" w:firstLineChars="0"/>
        <w:jc w:val="center"/>
        <w:rPr>
          <w:rFonts w:ascii="Times New Roman" w:hAnsi="Times New Roman" w:cs="Times New Roman"/>
        </w:rPr>
      </w:pPr>
      <w:bookmarkStart w:id="109" w:name="_Toc106033039"/>
      <w:bookmarkStart w:id="110" w:name="_Toc26175"/>
      <w:bookmarkStart w:id="111" w:name="_Toc27068"/>
      <w:bookmarkStart w:id="112" w:name="_Toc6208"/>
      <w:bookmarkStart w:id="113" w:name="_Toc17594"/>
      <w:bookmarkStart w:id="114" w:name="_Toc21035"/>
      <w:bookmarkStart w:id="115" w:name="_Toc5478"/>
      <w:bookmarkStart w:id="116" w:name="_Toc17490"/>
      <w:bookmarkStart w:id="117" w:name="_Toc27044"/>
      <w:r>
        <w:rPr>
          <w:rFonts w:hint="eastAsia" w:ascii="Times New Roman" w:hAnsi="Times New Roman" w:cs="Times New Roman"/>
        </w:rPr>
        <w:t xml:space="preserve">第八节 </w:t>
      </w:r>
      <w:r>
        <w:rPr>
          <w:rFonts w:ascii="Times New Roman" w:hAnsi="Times New Roman" w:cs="Times New Roman"/>
        </w:rPr>
        <w:t xml:space="preserve"> 加强评估调整</w:t>
      </w:r>
      <w:bookmarkEnd w:id="109"/>
    </w:p>
    <w:bookmarkEnd w:id="110"/>
    <w:bookmarkEnd w:id="111"/>
    <w:bookmarkEnd w:id="112"/>
    <w:bookmarkEnd w:id="113"/>
    <w:bookmarkEnd w:id="114"/>
    <w:bookmarkEnd w:id="115"/>
    <w:bookmarkEnd w:id="116"/>
    <w:bookmarkEnd w:id="117"/>
    <w:p>
      <w:pPr>
        <w:pStyle w:val="45"/>
        <w:ind w:firstLine="640"/>
        <w:rPr>
          <w:rFonts w:cs="Times New Roman"/>
        </w:rPr>
      </w:pPr>
      <w:r>
        <w:rPr>
          <w:rFonts w:cs="Times New Roman"/>
        </w:rPr>
        <w:t>坚持规划中期评估制度，严格评估程序，委托第三方机构开展评估工作，分析规划实施效果，及时查找和解决问题，对规划滚动实施提出建议，根据规划实施和政策调整情况，修订调整节能规划目标和任务，推动完成“十四五”能耗“双控”目标任务。</w:t>
      </w:r>
    </w:p>
    <w:p>
      <w:pPr>
        <w:pStyle w:val="2"/>
        <w:ind w:firstLine="420"/>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方正楷体简体">
    <w:altName w:val="楷体_GB2312"/>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530725"/>
    </w:sdtPr>
    <w:sdtContent>
      <w:p>
        <w:pPr>
          <w:pStyle w:val="10"/>
          <w:ind w:firstLine="360"/>
          <w:jc w:val="center"/>
        </w:pPr>
      </w:p>
    </w:sdtContent>
  </w:sdt>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686116"/>
    </w:sdtPr>
    <w:sdtContent>
      <w:p>
        <w:pPr>
          <w:pStyle w:val="10"/>
          <w:ind w:firstLine="360"/>
          <w:jc w:val="center"/>
        </w:pPr>
        <w:r>
          <w:fldChar w:fldCharType="begin"/>
        </w:r>
        <w:r>
          <w:instrText xml:space="preserve">PAGE   \* MERGEFORMAT</w:instrText>
        </w:r>
        <w:r>
          <w:fldChar w:fldCharType="separate"/>
        </w:r>
        <w:r>
          <w:rPr>
            <w:lang w:val="zh-CN"/>
          </w:rPr>
          <w:t>III</w:t>
        </w:r>
        <w:r>
          <w:fldChar w:fldCharType="end"/>
        </w:r>
      </w:p>
    </w:sdtContent>
  </w:sdt>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922896"/>
    </w:sdtPr>
    <w:sdtContent>
      <w:p>
        <w:pPr>
          <w:pStyle w:val="10"/>
          <w:ind w:firstLine="360"/>
          <w:jc w:val="center"/>
        </w:pPr>
        <w:r>
          <w:fldChar w:fldCharType="begin"/>
        </w:r>
        <w:r>
          <w:instrText xml:space="preserve">PAGE   \* MERGEFORMAT</w:instrText>
        </w:r>
        <w:r>
          <w:fldChar w:fldCharType="separate"/>
        </w:r>
        <w:r>
          <w:rPr>
            <w:lang w:val="zh-CN"/>
          </w:rPr>
          <w:t>43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4"/>
      <w:lvlText w:val="%1."/>
      <w:lvlJc w:val="left"/>
      <w:pPr>
        <w:tabs>
          <w:tab w:val="left" w:pos="360"/>
        </w:tabs>
        <w:ind w:left="360" w:hanging="360" w:hangingChars="200"/>
      </w:pPr>
    </w:lvl>
  </w:abstractNum>
  <w:abstractNum w:abstractNumId="1">
    <w:nsid w:val="48975713"/>
    <w:multiLevelType w:val="singleLevel"/>
    <w:tmpl w:val="4897571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04C"/>
    <w:rsid w:val="00001FC2"/>
    <w:rsid w:val="00002577"/>
    <w:rsid w:val="00003B4D"/>
    <w:rsid w:val="00004D88"/>
    <w:rsid w:val="00005AD2"/>
    <w:rsid w:val="00007FA5"/>
    <w:rsid w:val="00010090"/>
    <w:rsid w:val="0001315E"/>
    <w:rsid w:val="0001470F"/>
    <w:rsid w:val="00017067"/>
    <w:rsid w:val="000228EA"/>
    <w:rsid w:val="00022FB4"/>
    <w:rsid w:val="00024657"/>
    <w:rsid w:val="0002483C"/>
    <w:rsid w:val="000259DA"/>
    <w:rsid w:val="00025F59"/>
    <w:rsid w:val="000306BD"/>
    <w:rsid w:val="000352D0"/>
    <w:rsid w:val="000352DE"/>
    <w:rsid w:val="000358BF"/>
    <w:rsid w:val="00036B84"/>
    <w:rsid w:val="00036D46"/>
    <w:rsid w:val="00037308"/>
    <w:rsid w:val="00037D06"/>
    <w:rsid w:val="00041B24"/>
    <w:rsid w:val="00042A2C"/>
    <w:rsid w:val="00045C2A"/>
    <w:rsid w:val="000478D1"/>
    <w:rsid w:val="000503FC"/>
    <w:rsid w:val="00052043"/>
    <w:rsid w:val="00052262"/>
    <w:rsid w:val="00052311"/>
    <w:rsid w:val="00054DE5"/>
    <w:rsid w:val="0006018B"/>
    <w:rsid w:val="000601A7"/>
    <w:rsid w:val="00061F0B"/>
    <w:rsid w:val="00062F36"/>
    <w:rsid w:val="00065DD3"/>
    <w:rsid w:val="00066B5E"/>
    <w:rsid w:val="0007027B"/>
    <w:rsid w:val="00071A34"/>
    <w:rsid w:val="00071E3E"/>
    <w:rsid w:val="000775CA"/>
    <w:rsid w:val="00077613"/>
    <w:rsid w:val="00080CC6"/>
    <w:rsid w:val="00084C3A"/>
    <w:rsid w:val="00085019"/>
    <w:rsid w:val="00085257"/>
    <w:rsid w:val="000906FC"/>
    <w:rsid w:val="00091353"/>
    <w:rsid w:val="00091AB9"/>
    <w:rsid w:val="00092600"/>
    <w:rsid w:val="0009291E"/>
    <w:rsid w:val="00093B4F"/>
    <w:rsid w:val="0009438B"/>
    <w:rsid w:val="000943B5"/>
    <w:rsid w:val="00095794"/>
    <w:rsid w:val="000961E2"/>
    <w:rsid w:val="00097997"/>
    <w:rsid w:val="000A099F"/>
    <w:rsid w:val="000A2E15"/>
    <w:rsid w:val="000A45C3"/>
    <w:rsid w:val="000A4FD6"/>
    <w:rsid w:val="000A5537"/>
    <w:rsid w:val="000A66AB"/>
    <w:rsid w:val="000A720D"/>
    <w:rsid w:val="000B0F18"/>
    <w:rsid w:val="000B1B08"/>
    <w:rsid w:val="000B1E5E"/>
    <w:rsid w:val="000B2C52"/>
    <w:rsid w:val="000B3F29"/>
    <w:rsid w:val="000B5CA1"/>
    <w:rsid w:val="000B5D62"/>
    <w:rsid w:val="000B660C"/>
    <w:rsid w:val="000C01D6"/>
    <w:rsid w:val="000C066F"/>
    <w:rsid w:val="000C0D61"/>
    <w:rsid w:val="000C1301"/>
    <w:rsid w:val="000C1FA4"/>
    <w:rsid w:val="000C6699"/>
    <w:rsid w:val="000C73B0"/>
    <w:rsid w:val="000C78D6"/>
    <w:rsid w:val="000D47C1"/>
    <w:rsid w:val="000D6038"/>
    <w:rsid w:val="000D66BF"/>
    <w:rsid w:val="000E178A"/>
    <w:rsid w:val="000E1FCB"/>
    <w:rsid w:val="000E2715"/>
    <w:rsid w:val="000E6439"/>
    <w:rsid w:val="000E643D"/>
    <w:rsid w:val="000E7074"/>
    <w:rsid w:val="000E7B83"/>
    <w:rsid w:val="000F024C"/>
    <w:rsid w:val="000F1610"/>
    <w:rsid w:val="000F2FFF"/>
    <w:rsid w:val="000F3877"/>
    <w:rsid w:val="000F51A5"/>
    <w:rsid w:val="000F5B44"/>
    <w:rsid w:val="000F7732"/>
    <w:rsid w:val="0010086C"/>
    <w:rsid w:val="001022C2"/>
    <w:rsid w:val="00102FA5"/>
    <w:rsid w:val="00105462"/>
    <w:rsid w:val="00106ECA"/>
    <w:rsid w:val="00107C09"/>
    <w:rsid w:val="001152C6"/>
    <w:rsid w:val="00121D39"/>
    <w:rsid w:val="001220A2"/>
    <w:rsid w:val="00122B0E"/>
    <w:rsid w:val="00131ED9"/>
    <w:rsid w:val="00135D06"/>
    <w:rsid w:val="001364C4"/>
    <w:rsid w:val="00136892"/>
    <w:rsid w:val="00137694"/>
    <w:rsid w:val="00137F78"/>
    <w:rsid w:val="00142CB8"/>
    <w:rsid w:val="0014330C"/>
    <w:rsid w:val="00143D11"/>
    <w:rsid w:val="001448B2"/>
    <w:rsid w:val="00144B8A"/>
    <w:rsid w:val="00145E3D"/>
    <w:rsid w:val="0014662B"/>
    <w:rsid w:val="00146B98"/>
    <w:rsid w:val="0015013A"/>
    <w:rsid w:val="00151968"/>
    <w:rsid w:val="00155069"/>
    <w:rsid w:val="0015526F"/>
    <w:rsid w:val="001559C4"/>
    <w:rsid w:val="00155D01"/>
    <w:rsid w:val="00155F98"/>
    <w:rsid w:val="00156A6A"/>
    <w:rsid w:val="001608E3"/>
    <w:rsid w:val="00161B43"/>
    <w:rsid w:val="00171487"/>
    <w:rsid w:val="00171A96"/>
    <w:rsid w:val="001721CD"/>
    <w:rsid w:val="00172A27"/>
    <w:rsid w:val="001752DA"/>
    <w:rsid w:val="0017748F"/>
    <w:rsid w:val="00184A8F"/>
    <w:rsid w:val="00184C99"/>
    <w:rsid w:val="0018689D"/>
    <w:rsid w:val="00186DF4"/>
    <w:rsid w:val="00190D7F"/>
    <w:rsid w:val="001949FA"/>
    <w:rsid w:val="00197FCE"/>
    <w:rsid w:val="001A005A"/>
    <w:rsid w:val="001A358D"/>
    <w:rsid w:val="001A36D9"/>
    <w:rsid w:val="001A4687"/>
    <w:rsid w:val="001A4725"/>
    <w:rsid w:val="001A5714"/>
    <w:rsid w:val="001A5898"/>
    <w:rsid w:val="001A7CE6"/>
    <w:rsid w:val="001B4106"/>
    <w:rsid w:val="001B576B"/>
    <w:rsid w:val="001C1A37"/>
    <w:rsid w:val="001C33D1"/>
    <w:rsid w:val="001C66EF"/>
    <w:rsid w:val="001C6970"/>
    <w:rsid w:val="001C7BC1"/>
    <w:rsid w:val="001D0E16"/>
    <w:rsid w:val="001D2220"/>
    <w:rsid w:val="001D3203"/>
    <w:rsid w:val="001D3F10"/>
    <w:rsid w:val="001D42AF"/>
    <w:rsid w:val="001D42C6"/>
    <w:rsid w:val="001D6B18"/>
    <w:rsid w:val="001D6CE3"/>
    <w:rsid w:val="001D709D"/>
    <w:rsid w:val="001E2A77"/>
    <w:rsid w:val="001E2EDE"/>
    <w:rsid w:val="001E484B"/>
    <w:rsid w:val="001E48A1"/>
    <w:rsid w:val="001E529E"/>
    <w:rsid w:val="001E5DA6"/>
    <w:rsid w:val="001E625E"/>
    <w:rsid w:val="001F04EC"/>
    <w:rsid w:val="001F0CBF"/>
    <w:rsid w:val="001F2ABA"/>
    <w:rsid w:val="001F6844"/>
    <w:rsid w:val="001F7291"/>
    <w:rsid w:val="00200856"/>
    <w:rsid w:val="00201CF1"/>
    <w:rsid w:val="00203615"/>
    <w:rsid w:val="00203D3F"/>
    <w:rsid w:val="002057B4"/>
    <w:rsid w:val="00212D16"/>
    <w:rsid w:val="00214DFA"/>
    <w:rsid w:val="0022316F"/>
    <w:rsid w:val="00223CEB"/>
    <w:rsid w:val="00224449"/>
    <w:rsid w:val="00224C02"/>
    <w:rsid w:val="00225B82"/>
    <w:rsid w:val="002279EC"/>
    <w:rsid w:val="00227A32"/>
    <w:rsid w:val="002309EC"/>
    <w:rsid w:val="0023283B"/>
    <w:rsid w:val="00232DA1"/>
    <w:rsid w:val="00235E77"/>
    <w:rsid w:val="00242593"/>
    <w:rsid w:val="002425FB"/>
    <w:rsid w:val="00243E28"/>
    <w:rsid w:val="0024417D"/>
    <w:rsid w:val="00245730"/>
    <w:rsid w:val="00245A51"/>
    <w:rsid w:val="00246661"/>
    <w:rsid w:val="0025464A"/>
    <w:rsid w:val="00256D30"/>
    <w:rsid w:val="00260AF2"/>
    <w:rsid w:val="00264B4B"/>
    <w:rsid w:val="00266294"/>
    <w:rsid w:val="00267617"/>
    <w:rsid w:val="00267653"/>
    <w:rsid w:val="0027244B"/>
    <w:rsid w:val="002740AF"/>
    <w:rsid w:val="002740E9"/>
    <w:rsid w:val="00277EBF"/>
    <w:rsid w:val="00280D3F"/>
    <w:rsid w:val="00283599"/>
    <w:rsid w:val="0028545F"/>
    <w:rsid w:val="00287657"/>
    <w:rsid w:val="002917C2"/>
    <w:rsid w:val="00292FCE"/>
    <w:rsid w:val="00294DDC"/>
    <w:rsid w:val="00295B43"/>
    <w:rsid w:val="00295BF7"/>
    <w:rsid w:val="002971CA"/>
    <w:rsid w:val="00297894"/>
    <w:rsid w:val="002A1067"/>
    <w:rsid w:val="002A3BF6"/>
    <w:rsid w:val="002A6727"/>
    <w:rsid w:val="002B118E"/>
    <w:rsid w:val="002B1388"/>
    <w:rsid w:val="002B241C"/>
    <w:rsid w:val="002B2804"/>
    <w:rsid w:val="002B4197"/>
    <w:rsid w:val="002C04E8"/>
    <w:rsid w:val="002C099C"/>
    <w:rsid w:val="002C4EA1"/>
    <w:rsid w:val="002C57B0"/>
    <w:rsid w:val="002C5C84"/>
    <w:rsid w:val="002D1902"/>
    <w:rsid w:val="002D2552"/>
    <w:rsid w:val="002D25A8"/>
    <w:rsid w:val="002D390D"/>
    <w:rsid w:val="002D3C16"/>
    <w:rsid w:val="002D6628"/>
    <w:rsid w:val="002D6E97"/>
    <w:rsid w:val="002E38F1"/>
    <w:rsid w:val="002E4851"/>
    <w:rsid w:val="002E5582"/>
    <w:rsid w:val="002E761E"/>
    <w:rsid w:val="002F1D45"/>
    <w:rsid w:val="002F29B0"/>
    <w:rsid w:val="002F4138"/>
    <w:rsid w:val="002F6F4E"/>
    <w:rsid w:val="002F7BC4"/>
    <w:rsid w:val="00302BF7"/>
    <w:rsid w:val="00302CC6"/>
    <w:rsid w:val="00310299"/>
    <w:rsid w:val="00311685"/>
    <w:rsid w:val="00311AF9"/>
    <w:rsid w:val="00311D37"/>
    <w:rsid w:val="0031212E"/>
    <w:rsid w:val="003126E4"/>
    <w:rsid w:val="00312862"/>
    <w:rsid w:val="00313604"/>
    <w:rsid w:val="00313BB1"/>
    <w:rsid w:val="00320046"/>
    <w:rsid w:val="0032166D"/>
    <w:rsid w:val="00321823"/>
    <w:rsid w:val="00323384"/>
    <w:rsid w:val="00324D52"/>
    <w:rsid w:val="00325C1F"/>
    <w:rsid w:val="00326776"/>
    <w:rsid w:val="00330D58"/>
    <w:rsid w:val="00331D9D"/>
    <w:rsid w:val="00331F6D"/>
    <w:rsid w:val="00332189"/>
    <w:rsid w:val="003346EB"/>
    <w:rsid w:val="0033580C"/>
    <w:rsid w:val="003411D5"/>
    <w:rsid w:val="0034299A"/>
    <w:rsid w:val="003434B1"/>
    <w:rsid w:val="00343AB2"/>
    <w:rsid w:val="00345D30"/>
    <w:rsid w:val="0035074F"/>
    <w:rsid w:val="00350C8D"/>
    <w:rsid w:val="00351D1C"/>
    <w:rsid w:val="00351D72"/>
    <w:rsid w:val="00352D8F"/>
    <w:rsid w:val="003579A4"/>
    <w:rsid w:val="00361B0C"/>
    <w:rsid w:val="00363297"/>
    <w:rsid w:val="00363DDE"/>
    <w:rsid w:val="00364D5E"/>
    <w:rsid w:val="00371819"/>
    <w:rsid w:val="00372C44"/>
    <w:rsid w:val="0037368E"/>
    <w:rsid w:val="00374A7C"/>
    <w:rsid w:val="00377F4E"/>
    <w:rsid w:val="00382831"/>
    <w:rsid w:val="00383070"/>
    <w:rsid w:val="003833C1"/>
    <w:rsid w:val="00385036"/>
    <w:rsid w:val="0038554D"/>
    <w:rsid w:val="0038620A"/>
    <w:rsid w:val="00386316"/>
    <w:rsid w:val="003879C2"/>
    <w:rsid w:val="00390253"/>
    <w:rsid w:val="00390813"/>
    <w:rsid w:val="00391590"/>
    <w:rsid w:val="00395092"/>
    <w:rsid w:val="003950E0"/>
    <w:rsid w:val="00396E5F"/>
    <w:rsid w:val="003A0DD4"/>
    <w:rsid w:val="003A1664"/>
    <w:rsid w:val="003A353A"/>
    <w:rsid w:val="003A441C"/>
    <w:rsid w:val="003A72A1"/>
    <w:rsid w:val="003B011B"/>
    <w:rsid w:val="003B3420"/>
    <w:rsid w:val="003B3E66"/>
    <w:rsid w:val="003B647A"/>
    <w:rsid w:val="003B6E87"/>
    <w:rsid w:val="003C0351"/>
    <w:rsid w:val="003C107C"/>
    <w:rsid w:val="003C26BF"/>
    <w:rsid w:val="003C45D0"/>
    <w:rsid w:val="003D07A8"/>
    <w:rsid w:val="003D0809"/>
    <w:rsid w:val="003D0F75"/>
    <w:rsid w:val="003D3DD1"/>
    <w:rsid w:val="003E1960"/>
    <w:rsid w:val="003E217F"/>
    <w:rsid w:val="003E2994"/>
    <w:rsid w:val="003E3537"/>
    <w:rsid w:val="003E5459"/>
    <w:rsid w:val="003E562F"/>
    <w:rsid w:val="003E599A"/>
    <w:rsid w:val="003E6243"/>
    <w:rsid w:val="003E639E"/>
    <w:rsid w:val="003E693E"/>
    <w:rsid w:val="003F1412"/>
    <w:rsid w:val="003F4F4D"/>
    <w:rsid w:val="003F5E68"/>
    <w:rsid w:val="003F7051"/>
    <w:rsid w:val="003F7A2E"/>
    <w:rsid w:val="004014FD"/>
    <w:rsid w:val="0040175F"/>
    <w:rsid w:val="0040201A"/>
    <w:rsid w:val="004046F7"/>
    <w:rsid w:val="00404A7E"/>
    <w:rsid w:val="0041193D"/>
    <w:rsid w:val="00412D33"/>
    <w:rsid w:val="004144D7"/>
    <w:rsid w:val="0042364F"/>
    <w:rsid w:val="00423D70"/>
    <w:rsid w:val="00424418"/>
    <w:rsid w:val="00425049"/>
    <w:rsid w:val="00425C23"/>
    <w:rsid w:val="0042706D"/>
    <w:rsid w:val="00431B76"/>
    <w:rsid w:val="00432865"/>
    <w:rsid w:val="00432F26"/>
    <w:rsid w:val="00432F72"/>
    <w:rsid w:val="00433499"/>
    <w:rsid w:val="0043405C"/>
    <w:rsid w:val="00435068"/>
    <w:rsid w:val="00437FAA"/>
    <w:rsid w:val="004445AA"/>
    <w:rsid w:val="00444772"/>
    <w:rsid w:val="00445635"/>
    <w:rsid w:val="00446A29"/>
    <w:rsid w:val="00452445"/>
    <w:rsid w:val="00452EA2"/>
    <w:rsid w:val="00453F5D"/>
    <w:rsid w:val="00460130"/>
    <w:rsid w:val="004608AA"/>
    <w:rsid w:val="00461460"/>
    <w:rsid w:val="00463CBA"/>
    <w:rsid w:val="00464931"/>
    <w:rsid w:val="004661ED"/>
    <w:rsid w:val="0047296A"/>
    <w:rsid w:val="0047491C"/>
    <w:rsid w:val="0047674A"/>
    <w:rsid w:val="00477BD6"/>
    <w:rsid w:val="0048139F"/>
    <w:rsid w:val="00484C36"/>
    <w:rsid w:val="00484EC3"/>
    <w:rsid w:val="0048521C"/>
    <w:rsid w:val="00485735"/>
    <w:rsid w:val="00485F57"/>
    <w:rsid w:val="0048691B"/>
    <w:rsid w:val="00487FE4"/>
    <w:rsid w:val="0049118D"/>
    <w:rsid w:val="0049187A"/>
    <w:rsid w:val="004928B9"/>
    <w:rsid w:val="00493001"/>
    <w:rsid w:val="004937C7"/>
    <w:rsid w:val="0049422F"/>
    <w:rsid w:val="00494B4A"/>
    <w:rsid w:val="00495832"/>
    <w:rsid w:val="00497134"/>
    <w:rsid w:val="004A1271"/>
    <w:rsid w:val="004A1784"/>
    <w:rsid w:val="004A3F18"/>
    <w:rsid w:val="004A4442"/>
    <w:rsid w:val="004A51F8"/>
    <w:rsid w:val="004A5543"/>
    <w:rsid w:val="004A6C6C"/>
    <w:rsid w:val="004A7778"/>
    <w:rsid w:val="004B2B73"/>
    <w:rsid w:val="004B4642"/>
    <w:rsid w:val="004B66F2"/>
    <w:rsid w:val="004B6C95"/>
    <w:rsid w:val="004B7AB3"/>
    <w:rsid w:val="004B7E4C"/>
    <w:rsid w:val="004C0459"/>
    <w:rsid w:val="004C26E4"/>
    <w:rsid w:val="004C388A"/>
    <w:rsid w:val="004C492E"/>
    <w:rsid w:val="004C497F"/>
    <w:rsid w:val="004C5883"/>
    <w:rsid w:val="004C7E77"/>
    <w:rsid w:val="004C7F12"/>
    <w:rsid w:val="004D017D"/>
    <w:rsid w:val="004D1977"/>
    <w:rsid w:val="004D2D7E"/>
    <w:rsid w:val="004D2F48"/>
    <w:rsid w:val="004D3EF7"/>
    <w:rsid w:val="004E08FD"/>
    <w:rsid w:val="004E0C41"/>
    <w:rsid w:val="004E1758"/>
    <w:rsid w:val="004E2900"/>
    <w:rsid w:val="004E2954"/>
    <w:rsid w:val="004E2D6F"/>
    <w:rsid w:val="004E50FC"/>
    <w:rsid w:val="004E5BC6"/>
    <w:rsid w:val="004F0245"/>
    <w:rsid w:val="004F0263"/>
    <w:rsid w:val="004F07C7"/>
    <w:rsid w:val="004F083D"/>
    <w:rsid w:val="004F0956"/>
    <w:rsid w:val="004F2B92"/>
    <w:rsid w:val="004F5A59"/>
    <w:rsid w:val="004F61D5"/>
    <w:rsid w:val="004F64EA"/>
    <w:rsid w:val="00500886"/>
    <w:rsid w:val="005011FC"/>
    <w:rsid w:val="00501C05"/>
    <w:rsid w:val="00502A48"/>
    <w:rsid w:val="00502D77"/>
    <w:rsid w:val="005039EF"/>
    <w:rsid w:val="00504C8A"/>
    <w:rsid w:val="0050624D"/>
    <w:rsid w:val="00506CDF"/>
    <w:rsid w:val="00513BC4"/>
    <w:rsid w:val="00517BBE"/>
    <w:rsid w:val="0052088B"/>
    <w:rsid w:val="00521BFF"/>
    <w:rsid w:val="00521CB0"/>
    <w:rsid w:val="005220F4"/>
    <w:rsid w:val="00523367"/>
    <w:rsid w:val="00523DCA"/>
    <w:rsid w:val="00524467"/>
    <w:rsid w:val="00524633"/>
    <w:rsid w:val="00524ADF"/>
    <w:rsid w:val="00526AA1"/>
    <w:rsid w:val="005270CC"/>
    <w:rsid w:val="00530305"/>
    <w:rsid w:val="00533F27"/>
    <w:rsid w:val="0053453B"/>
    <w:rsid w:val="00534AFC"/>
    <w:rsid w:val="00537F69"/>
    <w:rsid w:val="00540583"/>
    <w:rsid w:val="005420E4"/>
    <w:rsid w:val="00542DB8"/>
    <w:rsid w:val="00545696"/>
    <w:rsid w:val="005465F8"/>
    <w:rsid w:val="00547470"/>
    <w:rsid w:val="00547E40"/>
    <w:rsid w:val="00550C51"/>
    <w:rsid w:val="005513BD"/>
    <w:rsid w:val="0055419B"/>
    <w:rsid w:val="005550B8"/>
    <w:rsid w:val="0055667C"/>
    <w:rsid w:val="00557D16"/>
    <w:rsid w:val="00560313"/>
    <w:rsid w:val="00564278"/>
    <w:rsid w:val="005649D0"/>
    <w:rsid w:val="00570EA5"/>
    <w:rsid w:val="00571DA7"/>
    <w:rsid w:val="005757C3"/>
    <w:rsid w:val="0057590A"/>
    <w:rsid w:val="00576B6A"/>
    <w:rsid w:val="005813B2"/>
    <w:rsid w:val="00581F81"/>
    <w:rsid w:val="005855CB"/>
    <w:rsid w:val="0059476E"/>
    <w:rsid w:val="0059627F"/>
    <w:rsid w:val="00596560"/>
    <w:rsid w:val="005A0BDC"/>
    <w:rsid w:val="005A1B33"/>
    <w:rsid w:val="005A2F70"/>
    <w:rsid w:val="005A4ABF"/>
    <w:rsid w:val="005A4C19"/>
    <w:rsid w:val="005A5434"/>
    <w:rsid w:val="005A6059"/>
    <w:rsid w:val="005A77DD"/>
    <w:rsid w:val="005B05C8"/>
    <w:rsid w:val="005B0DA9"/>
    <w:rsid w:val="005B1074"/>
    <w:rsid w:val="005B18B2"/>
    <w:rsid w:val="005B42BE"/>
    <w:rsid w:val="005B4E9D"/>
    <w:rsid w:val="005B51CE"/>
    <w:rsid w:val="005B537B"/>
    <w:rsid w:val="005C1EA9"/>
    <w:rsid w:val="005C54F3"/>
    <w:rsid w:val="005C5990"/>
    <w:rsid w:val="005C651B"/>
    <w:rsid w:val="005C7584"/>
    <w:rsid w:val="005C7C92"/>
    <w:rsid w:val="005C7E44"/>
    <w:rsid w:val="005D017E"/>
    <w:rsid w:val="005D0436"/>
    <w:rsid w:val="005D1664"/>
    <w:rsid w:val="005D4B56"/>
    <w:rsid w:val="005D6112"/>
    <w:rsid w:val="005D7C38"/>
    <w:rsid w:val="005E25F7"/>
    <w:rsid w:val="005E2C53"/>
    <w:rsid w:val="005E2F14"/>
    <w:rsid w:val="005E5ED5"/>
    <w:rsid w:val="005E7BF7"/>
    <w:rsid w:val="005F041B"/>
    <w:rsid w:val="005F114D"/>
    <w:rsid w:val="005F241D"/>
    <w:rsid w:val="005F37DB"/>
    <w:rsid w:val="005F7D73"/>
    <w:rsid w:val="0060032C"/>
    <w:rsid w:val="006012C4"/>
    <w:rsid w:val="00601504"/>
    <w:rsid w:val="00601729"/>
    <w:rsid w:val="00603C8E"/>
    <w:rsid w:val="00603D30"/>
    <w:rsid w:val="0060485D"/>
    <w:rsid w:val="00607DA2"/>
    <w:rsid w:val="00610C44"/>
    <w:rsid w:val="006110F2"/>
    <w:rsid w:val="00611476"/>
    <w:rsid w:val="00611AF6"/>
    <w:rsid w:val="00611BD4"/>
    <w:rsid w:val="006125ED"/>
    <w:rsid w:val="006126F7"/>
    <w:rsid w:val="0061671C"/>
    <w:rsid w:val="006211E1"/>
    <w:rsid w:val="006222BA"/>
    <w:rsid w:val="006222BD"/>
    <w:rsid w:val="00622424"/>
    <w:rsid w:val="00622C66"/>
    <w:rsid w:val="00623E30"/>
    <w:rsid w:val="00627E0F"/>
    <w:rsid w:val="00630282"/>
    <w:rsid w:val="006326E4"/>
    <w:rsid w:val="00633E51"/>
    <w:rsid w:val="0063487A"/>
    <w:rsid w:val="006404A0"/>
    <w:rsid w:val="006411E9"/>
    <w:rsid w:val="00643F91"/>
    <w:rsid w:val="00644F81"/>
    <w:rsid w:val="00646456"/>
    <w:rsid w:val="0064762E"/>
    <w:rsid w:val="00647DBC"/>
    <w:rsid w:val="006506F5"/>
    <w:rsid w:val="00653DA0"/>
    <w:rsid w:val="00654A2C"/>
    <w:rsid w:val="00655EAA"/>
    <w:rsid w:val="0065790E"/>
    <w:rsid w:val="006627E4"/>
    <w:rsid w:val="006627E8"/>
    <w:rsid w:val="006630E6"/>
    <w:rsid w:val="0066345C"/>
    <w:rsid w:val="00664567"/>
    <w:rsid w:val="006658A1"/>
    <w:rsid w:val="00667F21"/>
    <w:rsid w:val="0067063D"/>
    <w:rsid w:val="0067102A"/>
    <w:rsid w:val="006724A6"/>
    <w:rsid w:val="0067289F"/>
    <w:rsid w:val="00673939"/>
    <w:rsid w:val="00676FEC"/>
    <w:rsid w:val="00677E05"/>
    <w:rsid w:val="0068074C"/>
    <w:rsid w:val="00682A2B"/>
    <w:rsid w:val="00683B5F"/>
    <w:rsid w:val="0068666D"/>
    <w:rsid w:val="00690551"/>
    <w:rsid w:val="00690720"/>
    <w:rsid w:val="00690748"/>
    <w:rsid w:val="006938EB"/>
    <w:rsid w:val="00696CA7"/>
    <w:rsid w:val="00697BB3"/>
    <w:rsid w:val="006A0E91"/>
    <w:rsid w:val="006A1857"/>
    <w:rsid w:val="006A1C7E"/>
    <w:rsid w:val="006A343B"/>
    <w:rsid w:val="006A4A8B"/>
    <w:rsid w:val="006A4B0E"/>
    <w:rsid w:val="006A4B60"/>
    <w:rsid w:val="006A679A"/>
    <w:rsid w:val="006A723A"/>
    <w:rsid w:val="006B0229"/>
    <w:rsid w:val="006B0CE0"/>
    <w:rsid w:val="006B0E1B"/>
    <w:rsid w:val="006B2E88"/>
    <w:rsid w:val="006B4275"/>
    <w:rsid w:val="006B5B18"/>
    <w:rsid w:val="006B6139"/>
    <w:rsid w:val="006B732E"/>
    <w:rsid w:val="006B750B"/>
    <w:rsid w:val="006C024E"/>
    <w:rsid w:val="006C29A8"/>
    <w:rsid w:val="006C327B"/>
    <w:rsid w:val="006C7AB3"/>
    <w:rsid w:val="006D069E"/>
    <w:rsid w:val="006D0C6C"/>
    <w:rsid w:val="006D1534"/>
    <w:rsid w:val="006D216D"/>
    <w:rsid w:val="006D5BAB"/>
    <w:rsid w:val="006D6610"/>
    <w:rsid w:val="006E1003"/>
    <w:rsid w:val="006E28AC"/>
    <w:rsid w:val="006E4CD2"/>
    <w:rsid w:val="006E532F"/>
    <w:rsid w:val="006E7B68"/>
    <w:rsid w:val="006F075D"/>
    <w:rsid w:val="006F1438"/>
    <w:rsid w:val="006F1894"/>
    <w:rsid w:val="006F2C6F"/>
    <w:rsid w:val="006F35B4"/>
    <w:rsid w:val="006F3FCE"/>
    <w:rsid w:val="006F49C3"/>
    <w:rsid w:val="006F5E97"/>
    <w:rsid w:val="006F6B1E"/>
    <w:rsid w:val="006F713A"/>
    <w:rsid w:val="00700D01"/>
    <w:rsid w:val="00702119"/>
    <w:rsid w:val="0070299F"/>
    <w:rsid w:val="007049C5"/>
    <w:rsid w:val="007105FE"/>
    <w:rsid w:val="00710C93"/>
    <w:rsid w:val="00710D1A"/>
    <w:rsid w:val="0071281E"/>
    <w:rsid w:val="007140EC"/>
    <w:rsid w:val="0071446A"/>
    <w:rsid w:val="007150A7"/>
    <w:rsid w:val="00717363"/>
    <w:rsid w:val="007174EE"/>
    <w:rsid w:val="00720D6C"/>
    <w:rsid w:val="00720DAA"/>
    <w:rsid w:val="00720F35"/>
    <w:rsid w:val="0072126D"/>
    <w:rsid w:val="007219F8"/>
    <w:rsid w:val="00723A07"/>
    <w:rsid w:val="00724813"/>
    <w:rsid w:val="00724961"/>
    <w:rsid w:val="007249F3"/>
    <w:rsid w:val="00724FB4"/>
    <w:rsid w:val="00726BD2"/>
    <w:rsid w:val="00726DF9"/>
    <w:rsid w:val="007274FB"/>
    <w:rsid w:val="00730AAC"/>
    <w:rsid w:val="00731BE8"/>
    <w:rsid w:val="00731F9C"/>
    <w:rsid w:val="00732545"/>
    <w:rsid w:val="00732C8F"/>
    <w:rsid w:val="00732D74"/>
    <w:rsid w:val="007337C6"/>
    <w:rsid w:val="00733D54"/>
    <w:rsid w:val="00733FCE"/>
    <w:rsid w:val="00733FD0"/>
    <w:rsid w:val="0073493C"/>
    <w:rsid w:val="007357E9"/>
    <w:rsid w:val="00736EE4"/>
    <w:rsid w:val="00740312"/>
    <w:rsid w:val="0074134C"/>
    <w:rsid w:val="00745AEA"/>
    <w:rsid w:val="00750FF2"/>
    <w:rsid w:val="00752A33"/>
    <w:rsid w:val="00753958"/>
    <w:rsid w:val="007542D0"/>
    <w:rsid w:val="00754B33"/>
    <w:rsid w:val="00761602"/>
    <w:rsid w:val="00763302"/>
    <w:rsid w:val="00765D15"/>
    <w:rsid w:val="00766145"/>
    <w:rsid w:val="007672E8"/>
    <w:rsid w:val="00767DE7"/>
    <w:rsid w:val="007707F1"/>
    <w:rsid w:val="00771689"/>
    <w:rsid w:val="00774018"/>
    <w:rsid w:val="007779E7"/>
    <w:rsid w:val="00777ECC"/>
    <w:rsid w:val="00780A8A"/>
    <w:rsid w:val="00781536"/>
    <w:rsid w:val="007838DE"/>
    <w:rsid w:val="00784B79"/>
    <w:rsid w:val="00785AAC"/>
    <w:rsid w:val="00787906"/>
    <w:rsid w:val="0079028D"/>
    <w:rsid w:val="00791CAD"/>
    <w:rsid w:val="00793117"/>
    <w:rsid w:val="007A0BF5"/>
    <w:rsid w:val="007A1819"/>
    <w:rsid w:val="007A209B"/>
    <w:rsid w:val="007A244A"/>
    <w:rsid w:val="007A3FEB"/>
    <w:rsid w:val="007A409F"/>
    <w:rsid w:val="007A4E7C"/>
    <w:rsid w:val="007A67B2"/>
    <w:rsid w:val="007B07EB"/>
    <w:rsid w:val="007B11F3"/>
    <w:rsid w:val="007B3516"/>
    <w:rsid w:val="007B36E3"/>
    <w:rsid w:val="007B44E9"/>
    <w:rsid w:val="007B4DF2"/>
    <w:rsid w:val="007B51E2"/>
    <w:rsid w:val="007B56B1"/>
    <w:rsid w:val="007B5F2F"/>
    <w:rsid w:val="007B718B"/>
    <w:rsid w:val="007C0DB1"/>
    <w:rsid w:val="007C14C0"/>
    <w:rsid w:val="007C1EF4"/>
    <w:rsid w:val="007C456D"/>
    <w:rsid w:val="007C5533"/>
    <w:rsid w:val="007C6175"/>
    <w:rsid w:val="007D1792"/>
    <w:rsid w:val="007D266E"/>
    <w:rsid w:val="007D3594"/>
    <w:rsid w:val="007D4004"/>
    <w:rsid w:val="007D5B37"/>
    <w:rsid w:val="007D7F19"/>
    <w:rsid w:val="007E0B75"/>
    <w:rsid w:val="007E183C"/>
    <w:rsid w:val="007E329A"/>
    <w:rsid w:val="007E3F55"/>
    <w:rsid w:val="007E4BD7"/>
    <w:rsid w:val="007E7B45"/>
    <w:rsid w:val="007F3568"/>
    <w:rsid w:val="007F5D88"/>
    <w:rsid w:val="00800E08"/>
    <w:rsid w:val="00801C87"/>
    <w:rsid w:val="00804297"/>
    <w:rsid w:val="00804B32"/>
    <w:rsid w:val="00806068"/>
    <w:rsid w:val="00806292"/>
    <w:rsid w:val="00806C72"/>
    <w:rsid w:val="008124C3"/>
    <w:rsid w:val="0081576A"/>
    <w:rsid w:val="00817DDB"/>
    <w:rsid w:val="00817DF8"/>
    <w:rsid w:val="0082287C"/>
    <w:rsid w:val="008228C8"/>
    <w:rsid w:val="00823137"/>
    <w:rsid w:val="0082373F"/>
    <w:rsid w:val="008246D4"/>
    <w:rsid w:val="00825F73"/>
    <w:rsid w:val="00826FD9"/>
    <w:rsid w:val="0083141D"/>
    <w:rsid w:val="00831625"/>
    <w:rsid w:val="00831D79"/>
    <w:rsid w:val="00837C6E"/>
    <w:rsid w:val="0084054D"/>
    <w:rsid w:val="0084089A"/>
    <w:rsid w:val="00840B9D"/>
    <w:rsid w:val="00840F6C"/>
    <w:rsid w:val="008418C8"/>
    <w:rsid w:val="00843B0A"/>
    <w:rsid w:val="00845304"/>
    <w:rsid w:val="00846221"/>
    <w:rsid w:val="0084715D"/>
    <w:rsid w:val="00852AA4"/>
    <w:rsid w:val="00853303"/>
    <w:rsid w:val="00853C18"/>
    <w:rsid w:val="0086002F"/>
    <w:rsid w:val="00861193"/>
    <w:rsid w:val="008615FB"/>
    <w:rsid w:val="00861C25"/>
    <w:rsid w:val="00862526"/>
    <w:rsid w:val="008647C0"/>
    <w:rsid w:val="008723EE"/>
    <w:rsid w:val="00873A05"/>
    <w:rsid w:val="00874057"/>
    <w:rsid w:val="008741AB"/>
    <w:rsid w:val="00874791"/>
    <w:rsid w:val="008802D5"/>
    <w:rsid w:val="00880449"/>
    <w:rsid w:val="00880864"/>
    <w:rsid w:val="0088180F"/>
    <w:rsid w:val="008836E4"/>
    <w:rsid w:val="00883862"/>
    <w:rsid w:val="00884A0B"/>
    <w:rsid w:val="00885B8C"/>
    <w:rsid w:val="008866C0"/>
    <w:rsid w:val="00887377"/>
    <w:rsid w:val="0089195A"/>
    <w:rsid w:val="00892595"/>
    <w:rsid w:val="0089654C"/>
    <w:rsid w:val="00897451"/>
    <w:rsid w:val="00897B71"/>
    <w:rsid w:val="008A03FA"/>
    <w:rsid w:val="008A0E52"/>
    <w:rsid w:val="008A3CBC"/>
    <w:rsid w:val="008A551B"/>
    <w:rsid w:val="008A6EA0"/>
    <w:rsid w:val="008B2482"/>
    <w:rsid w:val="008B2747"/>
    <w:rsid w:val="008B2FB0"/>
    <w:rsid w:val="008B36F3"/>
    <w:rsid w:val="008B599F"/>
    <w:rsid w:val="008B725B"/>
    <w:rsid w:val="008B7689"/>
    <w:rsid w:val="008B7B41"/>
    <w:rsid w:val="008C0FDC"/>
    <w:rsid w:val="008C3480"/>
    <w:rsid w:val="008C437E"/>
    <w:rsid w:val="008C463F"/>
    <w:rsid w:val="008C4A05"/>
    <w:rsid w:val="008C595B"/>
    <w:rsid w:val="008D058A"/>
    <w:rsid w:val="008D06DF"/>
    <w:rsid w:val="008D086D"/>
    <w:rsid w:val="008D3597"/>
    <w:rsid w:val="008D5066"/>
    <w:rsid w:val="008D5B5D"/>
    <w:rsid w:val="008D730B"/>
    <w:rsid w:val="008D7EF7"/>
    <w:rsid w:val="008E103B"/>
    <w:rsid w:val="008E7648"/>
    <w:rsid w:val="008F2E64"/>
    <w:rsid w:val="008F7154"/>
    <w:rsid w:val="008F7718"/>
    <w:rsid w:val="0090018C"/>
    <w:rsid w:val="00902092"/>
    <w:rsid w:val="009038BD"/>
    <w:rsid w:val="00904216"/>
    <w:rsid w:val="0090710E"/>
    <w:rsid w:val="00907AC5"/>
    <w:rsid w:val="00912CFA"/>
    <w:rsid w:val="00917DB9"/>
    <w:rsid w:val="009206C8"/>
    <w:rsid w:val="009209E3"/>
    <w:rsid w:val="00920EC3"/>
    <w:rsid w:val="00924722"/>
    <w:rsid w:val="00924ACB"/>
    <w:rsid w:val="00924D31"/>
    <w:rsid w:val="009268F3"/>
    <w:rsid w:val="00930409"/>
    <w:rsid w:val="00932F31"/>
    <w:rsid w:val="009345B2"/>
    <w:rsid w:val="00934CFE"/>
    <w:rsid w:val="00935ABF"/>
    <w:rsid w:val="00936D3B"/>
    <w:rsid w:val="009374A5"/>
    <w:rsid w:val="009404CE"/>
    <w:rsid w:val="0094097B"/>
    <w:rsid w:val="0094659F"/>
    <w:rsid w:val="00946786"/>
    <w:rsid w:val="0095124B"/>
    <w:rsid w:val="009538DE"/>
    <w:rsid w:val="00953CBC"/>
    <w:rsid w:val="00955707"/>
    <w:rsid w:val="00957757"/>
    <w:rsid w:val="00960956"/>
    <w:rsid w:val="00961215"/>
    <w:rsid w:val="00963258"/>
    <w:rsid w:val="009674A2"/>
    <w:rsid w:val="00967E4C"/>
    <w:rsid w:val="009714B1"/>
    <w:rsid w:val="00972028"/>
    <w:rsid w:val="009725B7"/>
    <w:rsid w:val="00972D10"/>
    <w:rsid w:val="009759B9"/>
    <w:rsid w:val="009763DE"/>
    <w:rsid w:val="00980696"/>
    <w:rsid w:val="009810F2"/>
    <w:rsid w:val="009820E1"/>
    <w:rsid w:val="00983EE4"/>
    <w:rsid w:val="009843A6"/>
    <w:rsid w:val="00985636"/>
    <w:rsid w:val="0098739E"/>
    <w:rsid w:val="00991D62"/>
    <w:rsid w:val="00993A5A"/>
    <w:rsid w:val="00995ECB"/>
    <w:rsid w:val="00996F04"/>
    <w:rsid w:val="0099734D"/>
    <w:rsid w:val="00997D7E"/>
    <w:rsid w:val="00997E25"/>
    <w:rsid w:val="009A0B9F"/>
    <w:rsid w:val="009A1ADD"/>
    <w:rsid w:val="009A25CC"/>
    <w:rsid w:val="009A2E81"/>
    <w:rsid w:val="009A4EDD"/>
    <w:rsid w:val="009A5A4C"/>
    <w:rsid w:val="009A5F81"/>
    <w:rsid w:val="009A703B"/>
    <w:rsid w:val="009B2089"/>
    <w:rsid w:val="009B23CF"/>
    <w:rsid w:val="009B5579"/>
    <w:rsid w:val="009B5DF1"/>
    <w:rsid w:val="009B5EE5"/>
    <w:rsid w:val="009B672D"/>
    <w:rsid w:val="009C095A"/>
    <w:rsid w:val="009C0A5B"/>
    <w:rsid w:val="009C3824"/>
    <w:rsid w:val="009C7B3B"/>
    <w:rsid w:val="009D00BB"/>
    <w:rsid w:val="009D2A3B"/>
    <w:rsid w:val="009D3409"/>
    <w:rsid w:val="009D4A48"/>
    <w:rsid w:val="009D4F16"/>
    <w:rsid w:val="009D7219"/>
    <w:rsid w:val="009E0800"/>
    <w:rsid w:val="009E0C08"/>
    <w:rsid w:val="009E0ECB"/>
    <w:rsid w:val="009E2A99"/>
    <w:rsid w:val="009E429E"/>
    <w:rsid w:val="009E5610"/>
    <w:rsid w:val="009F1573"/>
    <w:rsid w:val="009F1AB6"/>
    <w:rsid w:val="009F39DA"/>
    <w:rsid w:val="009F4187"/>
    <w:rsid w:val="009F58C7"/>
    <w:rsid w:val="009F60A8"/>
    <w:rsid w:val="009F61A4"/>
    <w:rsid w:val="00A0173C"/>
    <w:rsid w:val="00A0192A"/>
    <w:rsid w:val="00A02C6A"/>
    <w:rsid w:val="00A0740D"/>
    <w:rsid w:val="00A107C1"/>
    <w:rsid w:val="00A108FA"/>
    <w:rsid w:val="00A1152E"/>
    <w:rsid w:val="00A1453D"/>
    <w:rsid w:val="00A153F1"/>
    <w:rsid w:val="00A1621F"/>
    <w:rsid w:val="00A1682B"/>
    <w:rsid w:val="00A1690E"/>
    <w:rsid w:val="00A176F0"/>
    <w:rsid w:val="00A220BB"/>
    <w:rsid w:val="00A23635"/>
    <w:rsid w:val="00A2468E"/>
    <w:rsid w:val="00A2525D"/>
    <w:rsid w:val="00A26A96"/>
    <w:rsid w:val="00A30411"/>
    <w:rsid w:val="00A30609"/>
    <w:rsid w:val="00A31EE2"/>
    <w:rsid w:val="00A32C96"/>
    <w:rsid w:val="00A32C9A"/>
    <w:rsid w:val="00A338EB"/>
    <w:rsid w:val="00A41C89"/>
    <w:rsid w:val="00A44258"/>
    <w:rsid w:val="00A44266"/>
    <w:rsid w:val="00A44640"/>
    <w:rsid w:val="00A45B40"/>
    <w:rsid w:val="00A47B10"/>
    <w:rsid w:val="00A50D8F"/>
    <w:rsid w:val="00A50E05"/>
    <w:rsid w:val="00A532F5"/>
    <w:rsid w:val="00A535C6"/>
    <w:rsid w:val="00A53738"/>
    <w:rsid w:val="00A54AE2"/>
    <w:rsid w:val="00A5744A"/>
    <w:rsid w:val="00A63372"/>
    <w:rsid w:val="00A63AB3"/>
    <w:rsid w:val="00A63BA5"/>
    <w:rsid w:val="00A649F3"/>
    <w:rsid w:val="00A66246"/>
    <w:rsid w:val="00A66E4F"/>
    <w:rsid w:val="00A67DC7"/>
    <w:rsid w:val="00A70E1B"/>
    <w:rsid w:val="00A72008"/>
    <w:rsid w:val="00A74012"/>
    <w:rsid w:val="00A74FC8"/>
    <w:rsid w:val="00A754A9"/>
    <w:rsid w:val="00A7665C"/>
    <w:rsid w:val="00A77897"/>
    <w:rsid w:val="00A7793D"/>
    <w:rsid w:val="00A81DD8"/>
    <w:rsid w:val="00A8234C"/>
    <w:rsid w:val="00A83593"/>
    <w:rsid w:val="00A83BFA"/>
    <w:rsid w:val="00A84667"/>
    <w:rsid w:val="00A84DCE"/>
    <w:rsid w:val="00A87724"/>
    <w:rsid w:val="00A90F9E"/>
    <w:rsid w:val="00A916CF"/>
    <w:rsid w:val="00A93F72"/>
    <w:rsid w:val="00A96E53"/>
    <w:rsid w:val="00AA1F1F"/>
    <w:rsid w:val="00AA6349"/>
    <w:rsid w:val="00AB0089"/>
    <w:rsid w:val="00AB163D"/>
    <w:rsid w:val="00AB29AC"/>
    <w:rsid w:val="00AB347B"/>
    <w:rsid w:val="00AB49B2"/>
    <w:rsid w:val="00AB575C"/>
    <w:rsid w:val="00AB6E49"/>
    <w:rsid w:val="00AB7A53"/>
    <w:rsid w:val="00AB7D95"/>
    <w:rsid w:val="00AC0627"/>
    <w:rsid w:val="00AC22FC"/>
    <w:rsid w:val="00AC2E1A"/>
    <w:rsid w:val="00AC5EE0"/>
    <w:rsid w:val="00AC643A"/>
    <w:rsid w:val="00AC7D98"/>
    <w:rsid w:val="00AD0635"/>
    <w:rsid w:val="00AD0E68"/>
    <w:rsid w:val="00AD2004"/>
    <w:rsid w:val="00AD212A"/>
    <w:rsid w:val="00AD71A3"/>
    <w:rsid w:val="00AE00E9"/>
    <w:rsid w:val="00AE0203"/>
    <w:rsid w:val="00AE046F"/>
    <w:rsid w:val="00AE1EDB"/>
    <w:rsid w:val="00AE47FA"/>
    <w:rsid w:val="00AE4ECA"/>
    <w:rsid w:val="00AE520D"/>
    <w:rsid w:val="00AE5426"/>
    <w:rsid w:val="00AE5963"/>
    <w:rsid w:val="00AE6964"/>
    <w:rsid w:val="00AE7397"/>
    <w:rsid w:val="00AF0673"/>
    <w:rsid w:val="00AF0FD8"/>
    <w:rsid w:val="00AF3248"/>
    <w:rsid w:val="00AF3261"/>
    <w:rsid w:val="00AF3AEA"/>
    <w:rsid w:val="00AF5FF3"/>
    <w:rsid w:val="00AF667F"/>
    <w:rsid w:val="00AF7363"/>
    <w:rsid w:val="00AF7BC8"/>
    <w:rsid w:val="00AF7D88"/>
    <w:rsid w:val="00B00758"/>
    <w:rsid w:val="00B044E0"/>
    <w:rsid w:val="00B05443"/>
    <w:rsid w:val="00B100A2"/>
    <w:rsid w:val="00B10BCD"/>
    <w:rsid w:val="00B10E2E"/>
    <w:rsid w:val="00B11750"/>
    <w:rsid w:val="00B12E64"/>
    <w:rsid w:val="00B13428"/>
    <w:rsid w:val="00B1382B"/>
    <w:rsid w:val="00B13A3D"/>
    <w:rsid w:val="00B163B6"/>
    <w:rsid w:val="00B2195E"/>
    <w:rsid w:val="00B23889"/>
    <w:rsid w:val="00B24815"/>
    <w:rsid w:val="00B25F1C"/>
    <w:rsid w:val="00B26102"/>
    <w:rsid w:val="00B27FAB"/>
    <w:rsid w:val="00B32B33"/>
    <w:rsid w:val="00B35FCB"/>
    <w:rsid w:val="00B403CE"/>
    <w:rsid w:val="00B41A9A"/>
    <w:rsid w:val="00B41D22"/>
    <w:rsid w:val="00B42D48"/>
    <w:rsid w:val="00B436CB"/>
    <w:rsid w:val="00B443F6"/>
    <w:rsid w:val="00B45FB3"/>
    <w:rsid w:val="00B51A5F"/>
    <w:rsid w:val="00B614D8"/>
    <w:rsid w:val="00B64906"/>
    <w:rsid w:val="00B655A6"/>
    <w:rsid w:val="00B70BAD"/>
    <w:rsid w:val="00B711C1"/>
    <w:rsid w:val="00B7238F"/>
    <w:rsid w:val="00B728AA"/>
    <w:rsid w:val="00B731F8"/>
    <w:rsid w:val="00B73803"/>
    <w:rsid w:val="00B744F9"/>
    <w:rsid w:val="00B77D75"/>
    <w:rsid w:val="00B77DBB"/>
    <w:rsid w:val="00B82AA3"/>
    <w:rsid w:val="00B82AE6"/>
    <w:rsid w:val="00B835F7"/>
    <w:rsid w:val="00B8361D"/>
    <w:rsid w:val="00B84382"/>
    <w:rsid w:val="00B87A20"/>
    <w:rsid w:val="00B90A9B"/>
    <w:rsid w:val="00B93365"/>
    <w:rsid w:val="00B9389B"/>
    <w:rsid w:val="00B95091"/>
    <w:rsid w:val="00BA0C0E"/>
    <w:rsid w:val="00BA0E65"/>
    <w:rsid w:val="00BA220D"/>
    <w:rsid w:val="00BA23E9"/>
    <w:rsid w:val="00BA500A"/>
    <w:rsid w:val="00BA5AF4"/>
    <w:rsid w:val="00BA5C72"/>
    <w:rsid w:val="00BA6AE5"/>
    <w:rsid w:val="00BA7926"/>
    <w:rsid w:val="00BB0869"/>
    <w:rsid w:val="00BB3C12"/>
    <w:rsid w:val="00BB6470"/>
    <w:rsid w:val="00BB6914"/>
    <w:rsid w:val="00BB6C59"/>
    <w:rsid w:val="00BB7A0B"/>
    <w:rsid w:val="00BC0418"/>
    <w:rsid w:val="00BC4F98"/>
    <w:rsid w:val="00BC5210"/>
    <w:rsid w:val="00BC5A7F"/>
    <w:rsid w:val="00BD2070"/>
    <w:rsid w:val="00BD2842"/>
    <w:rsid w:val="00BD2EC7"/>
    <w:rsid w:val="00BD46CC"/>
    <w:rsid w:val="00BD6EBE"/>
    <w:rsid w:val="00BD76DF"/>
    <w:rsid w:val="00BE1536"/>
    <w:rsid w:val="00BE1762"/>
    <w:rsid w:val="00BE207A"/>
    <w:rsid w:val="00BE44B3"/>
    <w:rsid w:val="00BE4A7C"/>
    <w:rsid w:val="00BE5CDE"/>
    <w:rsid w:val="00BE6644"/>
    <w:rsid w:val="00BE7D3F"/>
    <w:rsid w:val="00BF0876"/>
    <w:rsid w:val="00BF15D8"/>
    <w:rsid w:val="00BF1BF6"/>
    <w:rsid w:val="00BF1C34"/>
    <w:rsid w:val="00BF1E3F"/>
    <w:rsid w:val="00BF1F58"/>
    <w:rsid w:val="00BF38EA"/>
    <w:rsid w:val="00BF4995"/>
    <w:rsid w:val="00BF6869"/>
    <w:rsid w:val="00C00444"/>
    <w:rsid w:val="00C00A27"/>
    <w:rsid w:val="00C00E0F"/>
    <w:rsid w:val="00C01DCE"/>
    <w:rsid w:val="00C01FA3"/>
    <w:rsid w:val="00C02608"/>
    <w:rsid w:val="00C04B2B"/>
    <w:rsid w:val="00C04B80"/>
    <w:rsid w:val="00C04E16"/>
    <w:rsid w:val="00C07DE4"/>
    <w:rsid w:val="00C17500"/>
    <w:rsid w:val="00C200E7"/>
    <w:rsid w:val="00C21B78"/>
    <w:rsid w:val="00C24665"/>
    <w:rsid w:val="00C250C8"/>
    <w:rsid w:val="00C25A53"/>
    <w:rsid w:val="00C32132"/>
    <w:rsid w:val="00C344CD"/>
    <w:rsid w:val="00C3499B"/>
    <w:rsid w:val="00C3552B"/>
    <w:rsid w:val="00C357CE"/>
    <w:rsid w:val="00C35D17"/>
    <w:rsid w:val="00C4054A"/>
    <w:rsid w:val="00C4225F"/>
    <w:rsid w:val="00C45F9D"/>
    <w:rsid w:val="00C475B3"/>
    <w:rsid w:val="00C52542"/>
    <w:rsid w:val="00C55903"/>
    <w:rsid w:val="00C55B6E"/>
    <w:rsid w:val="00C56686"/>
    <w:rsid w:val="00C57250"/>
    <w:rsid w:val="00C62FD1"/>
    <w:rsid w:val="00C636EF"/>
    <w:rsid w:val="00C63DE1"/>
    <w:rsid w:val="00C63E3A"/>
    <w:rsid w:val="00C660E9"/>
    <w:rsid w:val="00C6693A"/>
    <w:rsid w:val="00C70B46"/>
    <w:rsid w:val="00C7145A"/>
    <w:rsid w:val="00C72B9E"/>
    <w:rsid w:val="00C73E65"/>
    <w:rsid w:val="00C747DC"/>
    <w:rsid w:val="00C752E2"/>
    <w:rsid w:val="00C755B1"/>
    <w:rsid w:val="00C76553"/>
    <w:rsid w:val="00C76698"/>
    <w:rsid w:val="00C7777D"/>
    <w:rsid w:val="00C84B0C"/>
    <w:rsid w:val="00C87C13"/>
    <w:rsid w:val="00C90B6B"/>
    <w:rsid w:val="00C91999"/>
    <w:rsid w:val="00C95486"/>
    <w:rsid w:val="00C972EA"/>
    <w:rsid w:val="00C97E2F"/>
    <w:rsid w:val="00CA0D2B"/>
    <w:rsid w:val="00CA1603"/>
    <w:rsid w:val="00CA167C"/>
    <w:rsid w:val="00CA1A8C"/>
    <w:rsid w:val="00CA2DE6"/>
    <w:rsid w:val="00CA3B25"/>
    <w:rsid w:val="00CB09DE"/>
    <w:rsid w:val="00CB1F56"/>
    <w:rsid w:val="00CB365F"/>
    <w:rsid w:val="00CB6FC6"/>
    <w:rsid w:val="00CC16AA"/>
    <w:rsid w:val="00CC2D9A"/>
    <w:rsid w:val="00CC4B24"/>
    <w:rsid w:val="00CC56E1"/>
    <w:rsid w:val="00CC601B"/>
    <w:rsid w:val="00CD0583"/>
    <w:rsid w:val="00CD0620"/>
    <w:rsid w:val="00CD4B4B"/>
    <w:rsid w:val="00CD5557"/>
    <w:rsid w:val="00CE0784"/>
    <w:rsid w:val="00CE4482"/>
    <w:rsid w:val="00CE5683"/>
    <w:rsid w:val="00CE571B"/>
    <w:rsid w:val="00CE5FCD"/>
    <w:rsid w:val="00CE7DA2"/>
    <w:rsid w:val="00CF2167"/>
    <w:rsid w:val="00CF2C04"/>
    <w:rsid w:val="00CF44A8"/>
    <w:rsid w:val="00D03F34"/>
    <w:rsid w:val="00D045A1"/>
    <w:rsid w:val="00D05DF4"/>
    <w:rsid w:val="00D109F5"/>
    <w:rsid w:val="00D12A69"/>
    <w:rsid w:val="00D130DB"/>
    <w:rsid w:val="00D133EF"/>
    <w:rsid w:val="00D149F7"/>
    <w:rsid w:val="00D17337"/>
    <w:rsid w:val="00D20AB5"/>
    <w:rsid w:val="00D20F94"/>
    <w:rsid w:val="00D20FC4"/>
    <w:rsid w:val="00D217AD"/>
    <w:rsid w:val="00D24954"/>
    <w:rsid w:val="00D256ED"/>
    <w:rsid w:val="00D25756"/>
    <w:rsid w:val="00D267D4"/>
    <w:rsid w:val="00D2704A"/>
    <w:rsid w:val="00D27DB0"/>
    <w:rsid w:val="00D27DC0"/>
    <w:rsid w:val="00D27F70"/>
    <w:rsid w:val="00D31563"/>
    <w:rsid w:val="00D32F91"/>
    <w:rsid w:val="00D33873"/>
    <w:rsid w:val="00D34823"/>
    <w:rsid w:val="00D37A0B"/>
    <w:rsid w:val="00D41182"/>
    <w:rsid w:val="00D4571A"/>
    <w:rsid w:val="00D47132"/>
    <w:rsid w:val="00D50248"/>
    <w:rsid w:val="00D566C7"/>
    <w:rsid w:val="00D56E8B"/>
    <w:rsid w:val="00D57D96"/>
    <w:rsid w:val="00D605EB"/>
    <w:rsid w:val="00D615D5"/>
    <w:rsid w:val="00D61EB9"/>
    <w:rsid w:val="00D62D67"/>
    <w:rsid w:val="00D670ED"/>
    <w:rsid w:val="00D677C8"/>
    <w:rsid w:val="00D70C3A"/>
    <w:rsid w:val="00D71BB2"/>
    <w:rsid w:val="00D80BCB"/>
    <w:rsid w:val="00D91AC8"/>
    <w:rsid w:val="00D9379A"/>
    <w:rsid w:val="00D94BF7"/>
    <w:rsid w:val="00D957D7"/>
    <w:rsid w:val="00DA101D"/>
    <w:rsid w:val="00DA7CE7"/>
    <w:rsid w:val="00DB216C"/>
    <w:rsid w:val="00DB3C26"/>
    <w:rsid w:val="00DB3C9C"/>
    <w:rsid w:val="00DB4A02"/>
    <w:rsid w:val="00DB60BA"/>
    <w:rsid w:val="00DB63E7"/>
    <w:rsid w:val="00DC038B"/>
    <w:rsid w:val="00DC09E4"/>
    <w:rsid w:val="00DC0C95"/>
    <w:rsid w:val="00DC1BA4"/>
    <w:rsid w:val="00DC28E1"/>
    <w:rsid w:val="00DC2BA4"/>
    <w:rsid w:val="00DC2F4A"/>
    <w:rsid w:val="00DC3288"/>
    <w:rsid w:val="00DC3976"/>
    <w:rsid w:val="00DC3AA8"/>
    <w:rsid w:val="00DC57CB"/>
    <w:rsid w:val="00DC5865"/>
    <w:rsid w:val="00DC6B99"/>
    <w:rsid w:val="00DD0819"/>
    <w:rsid w:val="00DD1766"/>
    <w:rsid w:val="00DD1DE6"/>
    <w:rsid w:val="00DD2215"/>
    <w:rsid w:val="00DD38A0"/>
    <w:rsid w:val="00DD5D37"/>
    <w:rsid w:val="00DE037A"/>
    <w:rsid w:val="00DE03DA"/>
    <w:rsid w:val="00DE3A3C"/>
    <w:rsid w:val="00DE3E1B"/>
    <w:rsid w:val="00DE49FB"/>
    <w:rsid w:val="00DF2761"/>
    <w:rsid w:val="00DF62B2"/>
    <w:rsid w:val="00DF7B5F"/>
    <w:rsid w:val="00E01124"/>
    <w:rsid w:val="00E01529"/>
    <w:rsid w:val="00E02945"/>
    <w:rsid w:val="00E04F89"/>
    <w:rsid w:val="00E05011"/>
    <w:rsid w:val="00E054CB"/>
    <w:rsid w:val="00E055E4"/>
    <w:rsid w:val="00E05E87"/>
    <w:rsid w:val="00E06B89"/>
    <w:rsid w:val="00E07867"/>
    <w:rsid w:val="00E07CB9"/>
    <w:rsid w:val="00E12117"/>
    <w:rsid w:val="00E12EAF"/>
    <w:rsid w:val="00E156CB"/>
    <w:rsid w:val="00E156D9"/>
    <w:rsid w:val="00E165DC"/>
    <w:rsid w:val="00E176EB"/>
    <w:rsid w:val="00E21B62"/>
    <w:rsid w:val="00E2390D"/>
    <w:rsid w:val="00E248EE"/>
    <w:rsid w:val="00E2708E"/>
    <w:rsid w:val="00E30FDC"/>
    <w:rsid w:val="00E32352"/>
    <w:rsid w:val="00E33A8F"/>
    <w:rsid w:val="00E35166"/>
    <w:rsid w:val="00E35567"/>
    <w:rsid w:val="00E3739A"/>
    <w:rsid w:val="00E405AF"/>
    <w:rsid w:val="00E40CAC"/>
    <w:rsid w:val="00E4531E"/>
    <w:rsid w:val="00E47051"/>
    <w:rsid w:val="00E5306D"/>
    <w:rsid w:val="00E5462F"/>
    <w:rsid w:val="00E54654"/>
    <w:rsid w:val="00E54BF4"/>
    <w:rsid w:val="00E60BE8"/>
    <w:rsid w:val="00E60ED7"/>
    <w:rsid w:val="00E623B1"/>
    <w:rsid w:val="00E63F2A"/>
    <w:rsid w:val="00E650AF"/>
    <w:rsid w:val="00E6568B"/>
    <w:rsid w:val="00E66845"/>
    <w:rsid w:val="00E673A4"/>
    <w:rsid w:val="00E70DF1"/>
    <w:rsid w:val="00E71247"/>
    <w:rsid w:val="00E71A07"/>
    <w:rsid w:val="00E71FBB"/>
    <w:rsid w:val="00E72E38"/>
    <w:rsid w:val="00E73B9D"/>
    <w:rsid w:val="00E75F40"/>
    <w:rsid w:val="00E80413"/>
    <w:rsid w:val="00E80B28"/>
    <w:rsid w:val="00E80FC9"/>
    <w:rsid w:val="00E81342"/>
    <w:rsid w:val="00E83E2C"/>
    <w:rsid w:val="00E85A7F"/>
    <w:rsid w:val="00E86939"/>
    <w:rsid w:val="00E96694"/>
    <w:rsid w:val="00E9710D"/>
    <w:rsid w:val="00EA08D6"/>
    <w:rsid w:val="00EA1F6B"/>
    <w:rsid w:val="00EA2DB0"/>
    <w:rsid w:val="00EA2DF5"/>
    <w:rsid w:val="00EA36E3"/>
    <w:rsid w:val="00EA4981"/>
    <w:rsid w:val="00EA5E11"/>
    <w:rsid w:val="00EB29B2"/>
    <w:rsid w:val="00EB6301"/>
    <w:rsid w:val="00EC2F56"/>
    <w:rsid w:val="00EC572D"/>
    <w:rsid w:val="00ED147C"/>
    <w:rsid w:val="00ED2B02"/>
    <w:rsid w:val="00ED40AF"/>
    <w:rsid w:val="00ED4683"/>
    <w:rsid w:val="00ED5365"/>
    <w:rsid w:val="00ED6C23"/>
    <w:rsid w:val="00ED6D3E"/>
    <w:rsid w:val="00ED7222"/>
    <w:rsid w:val="00ED778C"/>
    <w:rsid w:val="00ED795C"/>
    <w:rsid w:val="00EE1143"/>
    <w:rsid w:val="00EE3826"/>
    <w:rsid w:val="00EE4AF2"/>
    <w:rsid w:val="00EF401B"/>
    <w:rsid w:val="00EF4672"/>
    <w:rsid w:val="00EF479E"/>
    <w:rsid w:val="00EF59F9"/>
    <w:rsid w:val="00EF701D"/>
    <w:rsid w:val="00F00C85"/>
    <w:rsid w:val="00F01F22"/>
    <w:rsid w:val="00F02388"/>
    <w:rsid w:val="00F027F6"/>
    <w:rsid w:val="00F041F9"/>
    <w:rsid w:val="00F07266"/>
    <w:rsid w:val="00F07509"/>
    <w:rsid w:val="00F077CA"/>
    <w:rsid w:val="00F101E9"/>
    <w:rsid w:val="00F117AC"/>
    <w:rsid w:val="00F11EA0"/>
    <w:rsid w:val="00F127BD"/>
    <w:rsid w:val="00F12BA8"/>
    <w:rsid w:val="00F13AFB"/>
    <w:rsid w:val="00F14D4E"/>
    <w:rsid w:val="00F1659A"/>
    <w:rsid w:val="00F21913"/>
    <w:rsid w:val="00F24393"/>
    <w:rsid w:val="00F246B4"/>
    <w:rsid w:val="00F24C2D"/>
    <w:rsid w:val="00F255E1"/>
    <w:rsid w:val="00F34046"/>
    <w:rsid w:val="00F36567"/>
    <w:rsid w:val="00F36575"/>
    <w:rsid w:val="00F405DC"/>
    <w:rsid w:val="00F4110F"/>
    <w:rsid w:val="00F4120E"/>
    <w:rsid w:val="00F4186E"/>
    <w:rsid w:val="00F433B6"/>
    <w:rsid w:val="00F4354A"/>
    <w:rsid w:val="00F45951"/>
    <w:rsid w:val="00F462CB"/>
    <w:rsid w:val="00F5087F"/>
    <w:rsid w:val="00F5113D"/>
    <w:rsid w:val="00F51470"/>
    <w:rsid w:val="00F534D9"/>
    <w:rsid w:val="00F5543D"/>
    <w:rsid w:val="00F64EE2"/>
    <w:rsid w:val="00F65111"/>
    <w:rsid w:val="00F657A9"/>
    <w:rsid w:val="00F6580A"/>
    <w:rsid w:val="00F66CB9"/>
    <w:rsid w:val="00F6734A"/>
    <w:rsid w:val="00F6786B"/>
    <w:rsid w:val="00F71629"/>
    <w:rsid w:val="00F747C0"/>
    <w:rsid w:val="00F75381"/>
    <w:rsid w:val="00F760F9"/>
    <w:rsid w:val="00F772FA"/>
    <w:rsid w:val="00F800DB"/>
    <w:rsid w:val="00F80DAB"/>
    <w:rsid w:val="00F82CAD"/>
    <w:rsid w:val="00F846B0"/>
    <w:rsid w:val="00F90157"/>
    <w:rsid w:val="00F92897"/>
    <w:rsid w:val="00F92FD4"/>
    <w:rsid w:val="00F94778"/>
    <w:rsid w:val="00F96477"/>
    <w:rsid w:val="00FA0B3D"/>
    <w:rsid w:val="00FA1555"/>
    <w:rsid w:val="00FA6132"/>
    <w:rsid w:val="00FB10DD"/>
    <w:rsid w:val="00FB181A"/>
    <w:rsid w:val="00FB2C30"/>
    <w:rsid w:val="00FB4301"/>
    <w:rsid w:val="00FB48E1"/>
    <w:rsid w:val="00FB5272"/>
    <w:rsid w:val="00FB7B5B"/>
    <w:rsid w:val="00FB7D51"/>
    <w:rsid w:val="00FC031E"/>
    <w:rsid w:val="00FC12DD"/>
    <w:rsid w:val="00FC172A"/>
    <w:rsid w:val="00FC268E"/>
    <w:rsid w:val="00FC4B2D"/>
    <w:rsid w:val="00FC574E"/>
    <w:rsid w:val="00FC664B"/>
    <w:rsid w:val="00FD28B3"/>
    <w:rsid w:val="00FD3240"/>
    <w:rsid w:val="00FD36B6"/>
    <w:rsid w:val="00FD47C3"/>
    <w:rsid w:val="00FD5ADD"/>
    <w:rsid w:val="00FD6C64"/>
    <w:rsid w:val="00FD71DF"/>
    <w:rsid w:val="00FD7CF6"/>
    <w:rsid w:val="00FE01E8"/>
    <w:rsid w:val="00FE515A"/>
    <w:rsid w:val="00FE6016"/>
    <w:rsid w:val="00FE670C"/>
    <w:rsid w:val="00FF1428"/>
    <w:rsid w:val="00FF3348"/>
    <w:rsid w:val="00FF42AB"/>
    <w:rsid w:val="00FF4D6A"/>
    <w:rsid w:val="00FF5B12"/>
    <w:rsid w:val="00FF6973"/>
    <w:rsid w:val="00FF7A94"/>
    <w:rsid w:val="01614E4E"/>
    <w:rsid w:val="016A2347"/>
    <w:rsid w:val="020B71CD"/>
    <w:rsid w:val="023F7D24"/>
    <w:rsid w:val="024C22F4"/>
    <w:rsid w:val="029E5C36"/>
    <w:rsid w:val="02C10B55"/>
    <w:rsid w:val="035E6C37"/>
    <w:rsid w:val="036B14EE"/>
    <w:rsid w:val="03AD4605"/>
    <w:rsid w:val="03D00820"/>
    <w:rsid w:val="03E07746"/>
    <w:rsid w:val="03EE15B7"/>
    <w:rsid w:val="047A7FC7"/>
    <w:rsid w:val="0494697E"/>
    <w:rsid w:val="049A27EB"/>
    <w:rsid w:val="04F1319D"/>
    <w:rsid w:val="04FF682E"/>
    <w:rsid w:val="050D5E7F"/>
    <w:rsid w:val="05201577"/>
    <w:rsid w:val="052044FA"/>
    <w:rsid w:val="05337C25"/>
    <w:rsid w:val="055F7331"/>
    <w:rsid w:val="05610C47"/>
    <w:rsid w:val="05936C5C"/>
    <w:rsid w:val="05DE395D"/>
    <w:rsid w:val="06015B59"/>
    <w:rsid w:val="06035364"/>
    <w:rsid w:val="06AD49AE"/>
    <w:rsid w:val="06D022EF"/>
    <w:rsid w:val="06DA141B"/>
    <w:rsid w:val="06E1359F"/>
    <w:rsid w:val="06E6482B"/>
    <w:rsid w:val="06FC000D"/>
    <w:rsid w:val="07024B9D"/>
    <w:rsid w:val="07544574"/>
    <w:rsid w:val="07887B31"/>
    <w:rsid w:val="07894FB6"/>
    <w:rsid w:val="078B3ADC"/>
    <w:rsid w:val="07FB542D"/>
    <w:rsid w:val="080D29E4"/>
    <w:rsid w:val="084912BB"/>
    <w:rsid w:val="088862B7"/>
    <w:rsid w:val="089B0359"/>
    <w:rsid w:val="09AE601C"/>
    <w:rsid w:val="09DE6D68"/>
    <w:rsid w:val="0A027534"/>
    <w:rsid w:val="0A267FB7"/>
    <w:rsid w:val="0AA51EC9"/>
    <w:rsid w:val="0AEC4DF4"/>
    <w:rsid w:val="0B666E5A"/>
    <w:rsid w:val="0B742CFE"/>
    <w:rsid w:val="0BD864B0"/>
    <w:rsid w:val="0C050A03"/>
    <w:rsid w:val="0C2547BA"/>
    <w:rsid w:val="0C3B5E5E"/>
    <w:rsid w:val="0CC82364"/>
    <w:rsid w:val="0CCA102B"/>
    <w:rsid w:val="0CD711D0"/>
    <w:rsid w:val="0D1F7B38"/>
    <w:rsid w:val="0D4364EF"/>
    <w:rsid w:val="0D5726AC"/>
    <w:rsid w:val="0D6F0E41"/>
    <w:rsid w:val="0D987B11"/>
    <w:rsid w:val="0DB053A8"/>
    <w:rsid w:val="0E212845"/>
    <w:rsid w:val="0E772E80"/>
    <w:rsid w:val="0EAD3AEC"/>
    <w:rsid w:val="0EE21C87"/>
    <w:rsid w:val="0F157361"/>
    <w:rsid w:val="0F365B81"/>
    <w:rsid w:val="0F471A68"/>
    <w:rsid w:val="0F85232D"/>
    <w:rsid w:val="0F8F5963"/>
    <w:rsid w:val="0F9A5FAB"/>
    <w:rsid w:val="0F9B431E"/>
    <w:rsid w:val="0FBB4238"/>
    <w:rsid w:val="0FCA6997"/>
    <w:rsid w:val="0FE14025"/>
    <w:rsid w:val="0FE8062D"/>
    <w:rsid w:val="1021000B"/>
    <w:rsid w:val="10515E35"/>
    <w:rsid w:val="10BE77BC"/>
    <w:rsid w:val="10D53378"/>
    <w:rsid w:val="11A26A54"/>
    <w:rsid w:val="11A4767F"/>
    <w:rsid w:val="11B17AE2"/>
    <w:rsid w:val="120F3662"/>
    <w:rsid w:val="12384020"/>
    <w:rsid w:val="124B5F45"/>
    <w:rsid w:val="12523A83"/>
    <w:rsid w:val="125B72BC"/>
    <w:rsid w:val="126E6A6E"/>
    <w:rsid w:val="12B16C27"/>
    <w:rsid w:val="130B0EA5"/>
    <w:rsid w:val="131A2BBC"/>
    <w:rsid w:val="137B1221"/>
    <w:rsid w:val="137E7550"/>
    <w:rsid w:val="13B10AD3"/>
    <w:rsid w:val="13B52A2B"/>
    <w:rsid w:val="14427E04"/>
    <w:rsid w:val="14631E5E"/>
    <w:rsid w:val="1464769A"/>
    <w:rsid w:val="149E3270"/>
    <w:rsid w:val="154433B1"/>
    <w:rsid w:val="15516178"/>
    <w:rsid w:val="1641207A"/>
    <w:rsid w:val="16ED74D9"/>
    <w:rsid w:val="17176A4C"/>
    <w:rsid w:val="171C5BAD"/>
    <w:rsid w:val="176D06BA"/>
    <w:rsid w:val="177E3778"/>
    <w:rsid w:val="179E4EB2"/>
    <w:rsid w:val="183448BC"/>
    <w:rsid w:val="18E16A9D"/>
    <w:rsid w:val="18E92437"/>
    <w:rsid w:val="19004CA1"/>
    <w:rsid w:val="19180A5C"/>
    <w:rsid w:val="191F4280"/>
    <w:rsid w:val="198B0E69"/>
    <w:rsid w:val="199E48D2"/>
    <w:rsid w:val="1A6D4ECE"/>
    <w:rsid w:val="1AC31AC7"/>
    <w:rsid w:val="1AD16883"/>
    <w:rsid w:val="1AF94F12"/>
    <w:rsid w:val="1B0B3E65"/>
    <w:rsid w:val="1B6B7759"/>
    <w:rsid w:val="1B79347B"/>
    <w:rsid w:val="1B8A4870"/>
    <w:rsid w:val="1BF87755"/>
    <w:rsid w:val="1CA635E3"/>
    <w:rsid w:val="1CDC1416"/>
    <w:rsid w:val="1D466C5D"/>
    <w:rsid w:val="1D4C6DF7"/>
    <w:rsid w:val="1D872253"/>
    <w:rsid w:val="1DFB39BC"/>
    <w:rsid w:val="1E893AC2"/>
    <w:rsid w:val="1EBD1A3A"/>
    <w:rsid w:val="1F3B6999"/>
    <w:rsid w:val="1F9E0072"/>
    <w:rsid w:val="1FD41A0F"/>
    <w:rsid w:val="204A7CE3"/>
    <w:rsid w:val="20A32BE9"/>
    <w:rsid w:val="20EF6634"/>
    <w:rsid w:val="20FF54CE"/>
    <w:rsid w:val="2109559B"/>
    <w:rsid w:val="212A7324"/>
    <w:rsid w:val="213F23E1"/>
    <w:rsid w:val="222848DB"/>
    <w:rsid w:val="225469F8"/>
    <w:rsid w:val="225A2A26"/>
    <w:rsid w:val="22B753E1"/>
    <w:rsid w:val="22C35937"/>
    <w:rsid w:val="22C766BF"/>
    <w:rsid w:val="22CE6128"/>
    <w:rsid w:val="231E4197"/>
    <w:rsid w:val="233E16EB"/>
    <w:rsid w:val="23A56291"/>
    <w:rsid w:val="23A87E67"/>
    <w:rsid w:val="23FA7C1C"/>
    <w:rsid w:val="24366977"/>
    <w:rsid w:val="244760D0"/>
    <w:rsid w:val="248D2A61"/>
    <w:rsid w:val="248D7E54"/>
    <w:rsid w:val="24E80964"/>
    <w:rsid w:val="24E82776"/>
    <w:rsid w:val="25374732"/>
    <w:rsid w:val="257E0FFA"/>
    <w:rsid w:val="25AD0786"/>
    <w:rsid w:val="25B85251"/>
    <w:rsid w:val="25BA41D2"/>
    <w:rsid w:val="25DC7242"/>
    <w:rsid w:val="267C3E89"/>
    <w:rsid w:val="26D52662"/>
    <w:rsid w:val="26F139AC"/>
    <w:rsid w:val="26FC74A6"/>
    <w:rsid w:val="27053372"/>
    <w:rsid w:val="27495EE6"/>
    <w:rsid w:val="27A85CD6"/>
    <w:rsid w:val="27AB0DC9"/>
    <w:rsid w:val="28EC2D64"/>
    <w:rsid w:val="29184208"/>
    <w:rsid w:val="29211D31"/>
    <w:rsid w:val="29533E87"/>
    <w:rsid w:val="29735EAD"/>
    <w:rsid w:val="2977043C"/>
    <w:rsid w:val="298E74A9"/>
    <w:rsid w:val="2990217A"/>
    <w:rsid w:val="2A2A44F9"/>
    <w:rsid w:val="2A6C71C1"/>
    <w:rsid w:val="2A85059D"/>
    <w:rsid w:val="2AC5284D"/>
    <w:rsid w:val="2B070CF5"/>
    <w:rsid w:val="2B205598"/>
    <w:rsid w:val="2B377BD9"/>
    <w:rsid w:val="2B69722A"/>
    <w:rsid w:val="2B8A5C6C"/>
    <w:rsid w:val="2BB81293"/>
    <w:rsid w:val="2C0D125B"/>
    <w:rsid w:val="2C1D706D"/>
    <w:rsid w:val="2C1D793C"/>
    <w:rsid w:val="2C20789F"/>
    <w:rsid w:val="2C272145"/>
    <w:rsid w:val="2C467FA4"/>
    <w:rsid w:val="2C4D0301"/>
    <w:rsid w:val="2C800AC3"/>
    <w:rsid w:val="2CCC04ED"/>
    <w:rsid w:val="2D326C54"/>
    <w:rsid w:val="2D4E4F26"/>
    <w:rsid w:val="2D6B2F6E"/>
    <w:rsid w:val="2D73705E"/>
    <w:rsid w:val="2D761DAF"/>
    <w:rsid w:val="2DBF2E16"/>
    <w:rsid w:val="2EA25B9D"/>
    <w:rsid w:val="2F52030C"/>
    <w:rsid w:val="2F7F3A3A"/>
    <w:rsid w:val="2F8C2F64"/>
    <w:rsid w:val="2FAE5A4A"/>
    <w:rsid w:val="300462B1"/>
    <w:rsid w:val="30F75F70"/>
    <w:rsid w:val="310B2514"/>
    <w:rsid w:val="315069BA"/>
    <w:rsid w:val="315B4CC8"/>
    <w:rsid w:val="317E2B6C"/>
    <w:rsid w:val="317F5DEF"/>
    <w:rsid w:val="322D1D28"/>
    <w:rsid w:val="326224E3"/>
    <w:rsid w:val="328A1494"/>
    <w:rsid w:val="33374B81"/>
    <w:rsid w:val="33501776"/>
    <w:rsid w:val="3352304C"/>
    <w:rsid w:val="33591DAA"/>
    <w:rsid w:val="33675173"/>
    <w:rsid w:val="336D3F8D"/>
    <w:rsid w:val="337D54AE"/>
    <w:rsid w:val="33CE6FF6"/>
    <w:rsid w:val="344244AA"/>
    <w:rsid w:val="348B5692"/>
    <w:rsid w:val="34B46F9F"/>
    <w:rsid w:val="34E066F2"/>
    <w:rsid w:val="34E24F65"/>
    <w:rsid w:val="34E47B70"/>
    <w:rsid w:val="351F0154"/>
    <w:rsid w:val="355A5BF0"/>
    <w:rsid w:val="355D4919"/>
    <w:rsid w:val="35701186"/>
    <w:rsid w:val="359317B2"/>
    <w:rsid w:val="35A43CBE"/>
    <w:rsid w:val="35AD4CFC"/>
    <w:rsid w:val="35F93B6F"/>
    <w:rsid w:val="363A30E4"/>
    <w:rsid w:val="364E1347"/>
    <w:rsid w:val="36550BB8"/>
    <w:rsid w:val="367C2EE8"/>
    <w:rsid w:val="36890E60"/>
    <w:rsid w:val="368F2952"/>
    <w:rsid w:val="36991EC0"/>
    <w:rsid w:val="36AF3241"/>
    <w:rsid w:val="36B1750F"/>
    <w:rsid w:val="36B41FE7"/>
    <w:rsid w:val="36F769DE"/>
    <w:rsid w:val="37446DFE"/>
    <w:rsid w:val="37C41269"/>
    <w:rsid w:val="37C74B5C"/>
    <w:rsid w:val="37FC08A2"/>
    <w:rsid w:val="38050748"/>
    <w:rsid w:val="384722C2"/>
    <w:rsid w:val="39005D67"/>
    <w:rsid w:val="392F1FCA"/>
    <w:rsid w:val="393D3BDF"/>
    <w:rsid w:val="39802A8C"/>
    <w:rsid w:val="39AE4DA1"/>
    <w:rsid w:val="39BA0579"/>
    <w:rsid w:val="39F11B50"/>
    <w:rsid w:val="3A0B33C8"/>
    <w:rsid w:val="3A2F5934"/>
    <w:rsid w:val="3A896DAC"/>
    <w:rsid w:val="3AC26347"/>
    <w:rsid w:val="3B165388"/>
    <w:rsid w:val="3B2554D4"/>
    <w:rsid w:val="3B4E6566"/>
    <w:rsid w:val="3B6E60A3"/>
    <w:rsid w:val="3BAD79C4"/>
    <w:rsid w:val="3BB97CBA"/>
    <w:rsid w:val="3BFB6114"/>
    <w:rsid w:val="3C151181"/>
    <w:rsid w:val="3C3055D6"/>
    <w:rsid w:val="3C31758C"/>
    <w:rsid w:val="3C510F7F"/>
    <w:rsid w:val="3CC70604"/>
    <w:rsid w:val="3D04624E"/>
    <w:rsid w:val="3D5417C6"/>
    <w:rsid w:val="3D5908E8"/>
    <w:rsid w:val="3DA73848"/>
    <w:rsid w:val="3DA8169E"/>
    <w:rsid w:val="3DF74B60"/>
    <w:rsid w:val="3E4F0334"/>
    <w:rsid w:val="3E905ED8"/>
    <w:rsid w:val="3E937A3F"/>
    <w:rsid w:val="3F1C106B"/>
    <w:rsid w:val="3F8C13B9"/>
    <w:rsid w:val="3FB40293"/>
    <w:rsid w:val="3FF04900"/>
    <w:rsid w:val="401A7B20"/>
    <w:rsid w:val="40237CA3"/>
    <w:rsid w:val="40255D74"/>
    <w:rsid w:val="40347213"/>
    <w:rsid w:val="406A3DA8"/>
    <w:rsid w:val="40703357"/>
    <w:rsid w:val="40B52927"/>
    <w:rsid w:val="40BB317F"/>
    <w:rsid w:val="40E76A12"/>
    <w:rsid w:val="410C65CB"/>
    <w:rsid w:val="411508BF"/>
    <w:rsid w:val="42175D70"/>
    <w:rsid w:val="423240C2"/>
    <w:rsid w:val="42500763"/>
    <w:rsid w:val="42532368"/>
    <w:rsid w:val="425C74C9"/>
    <w:rsid w:val="4267124B"/>
    <w:rsid w:val="426E7FAC"/>
    <w:rsid w:val="428925AF"/>
    <w:rsid w:val="428D02CF"/>
    <w:rsid w:val="432106A4"/>
    <w:rsid w:val="4346382A"/>
    <w:rsid w:val="4360693F"/>
    <w:rsid w:val="436654A5"/>
    <w:rsid w:val="43CF0C13"/>
    <w:rsid w:val="43E75409"/>
    <w:rsid w:val="4437739C"/>
    <w:rsid w:val="447357E7"/>
    <w:rsid w:val="44854D7B"/>
    <w:rsid w:val="44A10A2C"/>
    <w:rsid w:val="44A51CA7"/>
    <w:rsid w:val="44AF6483"/>
    <w:rsid w:val="450635D1"/>
    <w:rsid w:val="453C72F1"/>
    <w:rsid w:val="4569523A"/>
    <w:rsid w:val="45733126"/>
    <w:rsid w:val="46164E19"/>
    <w:rsid w:val="461A2C6E"/>
    <w:rsid w:val="46377BE2"/>
    <w:rsid w:val="46492A89"/>
    <w:rsid w:val="468B772A"/>
    <w:rsid w:val="46BD05B5"/>
    <w:rsid w:val="46F540AC"/>
    <w:rsid w:val="46F62C24"/>
    <w:rsid w:val="47CD520F"/>
    <w:rsid w:val="48485C99"/>
    <w:rsid w:val="489538A4"/>
    <w:rsid w:val="48D5247E"/>
    <w:rsid w:val="490A453A"/>
    <w:rsid w:val="49763CF9"/>
    <w:rsid w:val="49876C82"/>
    <w:rsid w:val="49EA7792"/>
    <w:rsid w:val="4AD87FE7"/>
    <w:rsid w:val="4B370B75"/>
    <w:rsid w:val="4B603782"/>
    <w:rsid w:val="4BAB7097"/>
    <w:rsid w:val="4BDF504C"/>
    <w:rsid w:val="4C0122CE"/>
    <w:rsid w:val="4C02228D"/>
    <w:rsid w:val="4C891A2E"/>
    <w:rsid w:val="4C897639"/>
    <w:rsid w:val="4D26341F"/>
    <w:rsid w:val="4E3D3600"/>
    <w:rsid w:val="4E4B16EA"/>
    <w:rsid w:val="4E5B0419"/>
    <w:rsid w:val="4E9B6F46"/>
    <w:rsid w:val="4ED412D2"/>
    <w:rsid w:val="4F124FC9"/>
    <w:rsid w:val="4F2B27BE"/>
    <w:rsid w:val="4F4164E1"/>
    <w:rsid w:val="4F475A20"/>
    <w:rsid w:val="4F6E0E32"/>
    <w:rsid w:val="4F9D4074"/>
    <w:rsid w:val="4FB44C39"/>
    <w:rsid w:val="5006210F"/>
    <w:rsid w:val="50466636"/>
    <w:rsid w:val="50814D19"/>
    <w:rsid w:val="50923A49"/>
    <w:rsid w:val="511B3352"/>
    <w:rsid w:val="513479F2"/>
    <w:rsid w:val="51E3747B"/>
    <w:rsid w:val="51E733C2"/>
    <w:rsid w:val="523F3D65"/>
    <w:rsid w:val="52722471"/>
    <w:rsid w:val="52765F54"/>
    <w:rsid w:val="528212B2"/>
    <w:rsid w:val="528527A6"/>
    <w:rsid w:val="528D3D54"/>
    <w:rsid w:val="52CC3207"/>
    <w:rsid w:val="52E37429"/>
    <w:rsid w:val="52FD7B0A"/>
    <w:rsid w:val="53142434"/>
    <w:rsid w:val="539D41A4"/>
    <w:rsid w:val="53AA2A09"/>
    <w:rsid w:val="53D77403"/>
    <w:rsid w:val="5409682E"/>
    <w:rsid w:val="541F7D37"/>
    <w:rsid w:val="54210206"/>
    <w:rsid w:val="54613F93"/>
    <w:rsid w:val="549E25AE"/>
    <w:rsid w:val="54CD2457"/>
    <w:rsid w:val="54DF16BC"/>
    <w:rsid w:val="553F4E71"/>
    <w:rsid w:val="55462D2C"/>
    <w:rsid w:val="562F64AA"/>
    <w:rsid w:val="5631331F"/>
    <w:rsid w:val="563C6BA6"/>
    <w:rsid w:val="56433865"/>
    <w:rsid w:val="564F20E3"/>
    <w:rsid w:val="565B5616"/>
    <w:rsid w:val="566447DB"/>
    <w:rsid w:val="56886E95"/>
    <w:rsid w:val="56897955"/>
    <w:rsid w:val="56C47924"/>
    <w:rsid w:val="575A4A9A"/>
    <w:rsid w:val="5791204E"/>
    <w:rsid w:val="57B7035E"/>
    <w:rsid w:val="584B1809"/>
    <w:rsid w:val="586D7EBD"/>
    <w:rsid w:val="58B4600B"/>
    <w:rsid w:val="58DE265B"/>
    <w:rsid w:val="59C409C1"/>
    <w:rsid w:val="59C412FB"/>
    <w:rsid w:val="59D02B54"/>
    <w:rsid w:val="59EB1C70"/>
    <w:rsid w:val="5A193945"/>
    <w:rsid w:val="5A433C28"/>
    <w:rsid w:val="5A494213"/>
    <w:rsid w:val="5B45250F"/>
    <w:rsid w:val="5B661523"/>
    <w:rsid w:val="5B877E0A"/>
    <w:rsid w:val="5BFE6F77"/>
    <w:rsid w:val="5BFF1D77"/>
    <w:rsid w:val="5C484973"/>
    <w:rsid w:val="5C484F55"/>
    <w:rsid w:val="5C673CE0"/>
    <w:rsid w:val="5C934784"/>
    <w:rsid w:val="5CB00528"/>
    <w:rsid w:val="5D042890"/>
    <w:rsid w:val="5D10320D"/>
    <w:rsid w:val="5E48792A"/>
    <w:rsid w:val="5E885CB6"/>
    <w:rsid w:val="5E994E60"/>
    <w:rsid w:val="5E9D4666"/>
    <w:rsid w:val="5ED44E6E"/>
    <w:rsid w:val="5EEC6E24"/>
    <w:rsid w:val="5F2327CA"/>
    <w:rsid w:val="5F4C5848"/>
    <w:rsid w:val="5F7055E8"/>
    <w:rsid w:val="5FAB01F2"/>
    <w:rsid w:val="5FC204CC"/>
    <w:rsid w:val="5FC82C41"/>
    <w:rsid w:val="604A26A0"/>
    <w:rsid w:val="60F96C51"/>
    <w:rsid w:val="61240212"/>
    <w:rsid w:val="61336940"/>
    <w:rsid w:val="617C6CFB"/>
    <w:rsid w:val="6189092E"/>
    <w:rsid w:val="61BA7A21"/>
    <w:rsid w:val="61D253DD"/>
    <w:rsid w:val="6204527B"/>
    <w:rsid w:val="625072E0"/>
    <w:rsid w:val="628266E3"/>
    <w:rsid w:val="62C12EA6"/>
    <w:rsid w:val="631061C8"/>
    <w:rsid w:val="6337087A"/>
    <w:rsid w:val="634D2754"/>
    <w:rsid w:val="634E76AB"/>
    <w:rsid w:val="6377033A"/>
    <w:rsid w:val="63AA5D05"/>
    <w:rsid w:val="63AC70B8"/>
    <w:rsid w:val="63EC0ACD"/>
    <w:rsid w:val="64256472"/>
    <w:rsid w:val="642D7BF3"/>
    <w:rsid w:val="645428A1"/>
    <w:rsid w:val="648A5973"/>
    <w:rsid w:val="64EE3C93"/>
    <w:rsid w:val="64F02DF9"/>
    <w:rsid w:val="65144760"/>
    <w:rsid w:val="65302038"/>
    <w:rsid w:val="65843267"/>
    <w:rsid w:val="65A1782E"/>
    <w:rsid w:val="65C60819"/>
    <w:rsid w:val="65F95A30"/>
    <w:rsid w:val="664E2EBD"/>
    <w:rsid w:val="66626EEB"/>
    <w:rsid w:val="667E3794"/>
    <w:rsid w:val="66840681"/>
    <w:rsid w:val="6684504D"/>
    <w:rsid w:val="66AE46F7"/>
    <w:rsid w:val="66B32528"/>
    <w:rsid w:val="66F85CDA"/>
    <w:rsid w:val="67556019"/>
    <w:rsid w:val="67977067"/>
    <w:rsid w:val="679F0DE2"/>
    <w:rsid w:val="680874FE"/>
    <w:rsid w:val="68970CFD"/>
    <w:rsid w:val="68C73ECE"/>
    <w:rsid w:val="68F349D0"/>
    <w:rsid w:val="68F5748F"/>
    <w:rsid w:val="69107C8F"/>
    <w:rsid w:val="6947446A"/>
    <w:rsid w:val="699D401B"/>
    <w:rsid w:val="69A135AD"/>
    <w:rsid w:val="69BD269C"/>
    <w:rsid w:val="69E43A7F"/>
    <w:rsid w:val="6A37227F"/>
    <w:rsid w:val="6A7427D8"/>
    <w:rsid w:val="6B762ABC"/>
    <w:rsid w:val="6BBC15AA"/>
    <w:rsid w:val="6C320423"/>
    <w:rsid w:val="6C4157E7"/>
    <w:rsid w:val="6C4525D5"/>
    <w:rsid w:val="6CA00B24"/>
    <w:rsid w:val="6D257119"/>
    <w:rsid w:val="6D3072D4"/>
    <w:rsid w:val="6D4277F0"/>
    <w:rsid w:val="6D7C12E5"/>
    <w:rsid w:val="6DC77946"/>
    <w:rsid w:val="6E533223"/>
    <w:rsid w:val="6E680810"/>
    <w:rsid w:val="6F0860E1"/>
    <w:rsid w:val="6F1A2510"/>
    <w:rsid w:val="6F27722E"/>
    <w:rsid w:val="6F6F6A2A"/>
    <w:rsid w:val="6F841D67"/>
    <w:rsid w:val="6F8F51D2"/>
    <w:rsid w:val="6F954ADB"/>
    <w:rsid w:val="6FBE306E"/>
    <w:rsid w:val="6FC1240C"/>
    <w:rsid w:val="6FCC5B8D"/>
    <w:rsid w:val="7026333F"/>
    <w:rsid w:val="70280FF0"/>
    <w:rsid w:val="703F6BF6"/>
    <w:rsid w:val="705B6286"/>
    <w:rsid w:val="70756F35"/>
    <w:rsid w:val="70770556"/>
    <w:rsid w:val="70C10FCD"/>
    <w:rsid w:val="71302C58"/>
    <w:rsid w:val="71727C55"/>
    <w:rsid w:val="71793EEF"/>
    <w:rsid w:val="71816537"/>
    <w:rsid w:val="719D0FD0"/>
    <w:rsid w:val="720B16D8"/>
    <w:rsid w:val="72EC2E2A"/>
    <w:rsid w:val="731A5F25"/>
    <w:rsid w:val="73925371"/>
    <w:rsid w:val="73D97A7F"/>
    <w:rsid w:val="74434422"/>
    <w:rsid w:val="7505337C"/>
    <w:rsid w:val="75093BCE"/>
    <w:rsid w:val="75565A16"/>
    <w:rsid w:val="757B402D"/>
    <w:rsid w:val="75DB5312"/>
    <w:rsid w:val="75EE1802"/>
    <w:rsid w:val="75FB7A68"/>
    <w:rsid w:val="76A41AF6"/>
    <w:rsid w:val="76F1575F"/>
    <w:rsid w:val="76F33085"/>
    <w:rsid w:val="76FA7936"/>
    <w:rsid w:val="778874BB"/>
    <w:rsid w:val="786D06F5"/>
    <w:rsid w:val="78727113"/>
    <w:rsid w:val="78BE469B"/>
    <w:rsid w:val="78EF0226"/>
    <w:rsid w:val="790A494E"/>
    <w:rsid w:val="79524A82"/>
    <w:rsid w:val="79546194"/>
    <w:rsid w:val="79A93840"/>
    <w:rsid w:val="7A4A229C"/>
    <w:rsid w:val="7A613762"/>
    <w:rsid w:val="7B10659E"/>
    <w:rsid w:val="7B172FC0"/>
    <w:rsid w:val="7B476399"/>
    <w:rsid w:val="7B585FCD"/>
    <w:rsid w:val="7BB54566"/>
    <w:rsid w:val="7C0222DA"/>
    <w:rsid w:val="7C1019D9"/>
    <w:rsid w:val="7C1604FC"/>
    <w:rsid w:val="7C4A1291"/>
    <w:rsid w:val="7C644D5D"/>
    <w:rsid w:val="7CC01442"/>
    <w:rsid w:val="7CE858FD"/>
    <w:rsid w:val="7CEB5D16"/>
    <w:rsid w:val="7D00696A"/>
    <w:rsid w:val="7D3B7B63"/>
    <w:rsid w:val="7D68678F"/>
    <w:rsid w:val="7D702668"/>
    <w:rsid w:val="7DC60AED"/>
    <w:rsid w:val="7DE2379A"/>
    <w:rsid w:val="7DE805F0"/>
    <w:rsid w:val="7E394B7E"/>
    <w:rsid w:val="7E3A2E35"/>
    <w:rsid w:val="7F0F4A94"/>
    <w:rsid w:val="7F2D2526"/>
    <w:rsid w:val="7F727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4"/>
    <w:next w:val="1"/>
    <w:link w:val="25"/>
    <w:qFormat/>
    <w:uiPriority w:val="9"/>
    <w:pPr>
      <w:keepNext/>
      <w:keepLines/>
      <w:numPr>
        <w:ilvl w:val="0"/>
        <w:numId w:val="0"/>
      </w:numPr>
      <w:tabs>
        <w:tab w:val="left" w:pos="360"/>
      </w:tabs>
      <w:jc w:val="left"/>
      <w:outlineLvl w:val="0"/>
    </w:pPr>
    <w:rPr>
      <w:rFonts w:ascii="黑体" w:hAnsi="黑体" w:eastAsia="黑体"/>
      <w:bCs/>
      <w:color w:val="000000" w:themeColor="text1"/>
      <w:kern w:val="44"/>
      <w:szCs w:val="36"/>
      <w14:textFill>
        <w14:solidFill>
          <w14:schemeClr w14:val="tx1"/>
        </w14:solidFill>
      </w14:textFill>
    </w:rPr>
  </w:style>
  <w:style w:type="paragraph" w:styleId="5">
    <w:name w:val="heading 2"/>
    <w:basedOn w:val="1"/>
    <w:next w:val="1"/>
    <w:link w:val="37"/>
    <w:unhideWhenUsed/>
    <w:qFormat/>
    <w:uiPriority w:val="9"/>
    <w:pPr>
      <w:keepNext/>
      <w:keepLines/>
      <w:spacing w:before="260" w:after="260" w:line="416" w:lineRule="auto"/>
      <w:outlineLvl w:val="1"/>
    </w:pPr>
    <w:rPr>
      <w:rFonts w:eastAsia="方正楷体简体" w:asciiTheme="majorHAnsi" w:hAnsiTheme="majorHAnsi" w:cstheme="majorBidi"/>
      <w:b/>
      <w:bCs/>
      <w:szCs w:val="32"/>
    </w:rPr>
  </w:style>
  <w:style w:type="paragraph" w:styleId="6">
    <w:name w:val="heading 3"/>
    <w:basedOn w:val="1"/>
    <w:next w:val="1"/>
    <w:link w:val="26"/>
    <w:unhideWhenUsed/>
    <w:qFormat/>
    <w:uiPriority w:val="9"/>
    <w:pPr>
      <w:keepNext/>
      <w:keepLines/>
      <w:spacing w:before="260" w:after="260" w:line="416" w:lineRule="auto"/>
      <w:ind w:firstLine="480"/>
      <w:outlineLvl w:val="2"/>
    </w:pPr>
    <w:rPr>
      <w:rFonts w:cstheme="minorBidi"/>
      <w:b/>
      <w:bCs/>
      <w:szCs w:val="32"/>
    </w:rPr>
  </w:style>
  <w:style w:type="character" w:default="1" w:styleId="18">
    <w:name w:val="Default Paragraph Font"/>
    <w:semiHidden/>
    <w:unhideWhenUsed/>
    <w:qFormat/>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qFormat/>
    <w:uiPriority w:val="99"/>
    <w:pPr>
      <w:ind w:firstLine="883"/>
    </w:pPr>
    <w:rPr>
      <w:rFonts w:ascii="宋体" w:hAnsi="Courier New"/>
      <w:sz w:val="21"/>
    </w:rPr>
  </w:style>
  <w:style w:type="paragraph" w:styleId="4">
    <w:name w:val="List Number"/>
    <w:basedOn w:val="1"/>
    <w:semiHidden/>
    <w:unhideWhenUsed/>
    <w:qFormat/>
    <w:uiPriority w:val="99"/>
    <w:pPr>
      <w:numPr>
        <w:ilvl w:val="0"/>
        <w:numId w:val="1"/>
      </w:numPr>
      <w:contextualSpacing/>
    </w:pPr>
  </w:style>
  <w:style w:type="paragraph" w:styleId="7">
    <w:name w:val="annotation text"/>
    <w:basedOn w:val="1"/>
    <w:semiHidden/>
    <w:unhideWhenUsed/>
    <w:qFormat/>
    <w:uiPriority w:val="99"/>
    <w:pPr>
      <w:jc w:val="left"/>
    </w:pPr>
  </w:style>
  <w:style w:type="paragraph" w:styleId="8">
    <w:name w:val="toc 3"/>
    <w:basedOn w:val="1"/>
    <w:next w:val="1"/>
    <w:unhideWhenUsed/>
    <w:qFormat/>
    <w:uiPriority w:val="39"/>
    <w:pPr>
      <w:spacing w:line="240" w:lineRule="auto"/>
      <w:ind w:left="840" w:leftChars="400"/>
    </w:pPr>
    <w:rPr>
      <w:sz w:val="28"/>
    </w:rPr>
  </w:style>
  <w:style w:type="paragraph" w:styleId="9">
    <w:name w:val="Balloon Text"/>
    <w:basedOn w:val="1"/>
    <w:link w:val="41"/>
    <w:semiHidden/>
    <w:unhideWhenUsed/>
    <w:qFormat/>
    <w:uiPriority w:val="99"/>
    <w:pPr>
      <w:spacing w:line="240" w:lineRule="auto"/>
    </w:pPr>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eastAsia="黑体"/>
    </w:rPr>
  </w:style>
  <w:style w:type="paragraph" w:styleId="13">
    <w:name w:val="footnote text"/>
    <w:basedOn w:val="1"/>
    <w:qFormat/>
    <w:uiPriority w:val="0"/>
    <w:pPr>
      <w:snapToGrid w:val="0"/>
      <w:jc w:val="left"/>
    </w:pPr>
    <w:rPr>
      <w:sz w:val="18"/>
      <w:szCs w:val="18"/>
    </w:rPr>
  </w:style>
  <w:style w:type="paragraph" w:styleId="14">
    <w:name w:val="toc 2"/>
    <w:basedOn w:val="1"/>
    <w:next w:val="1"/>
    <w:unhideWhenUsed/>
    <w:qFormat/>
    <w:uiPriority w:val="39"/>
    <w:pPr>
      <w:spacing w:line="240" w:lineRule="auto"/>
      <w:ind w:left="420" w:leftChars="200"/>
    </w:pPr>
    <w:rPr>
      <w:rFonts w:eastAsia="方正楷体简体"/>
      <w:sz w:val="28"/>
    </w:rPr>
  </w:style>
  <w:style w:type="paragraph" w:styleId="15">
    <w:name w:val="Normal (Web)"/>
    <w:basedOn w:val="1"/>
    <w:qFormat/>
    <w:uiPriority w:val="0"/>
    <w:pPr>
      <w:spacing w:beforeAutospacing="1" w:afterAutospacing="1" w:line="240" w:lineRule="auto"/>
      <w:ind w:firstLine="0" w:firstLineChars="0"/>
      <w:jc w:val="left"/>
    </w:pPr>
    <w:rPr>
      <w:rFonts w:asciiTheme="minorHAnsi" w:hAnsiTheme="minorHAnsi" w:eastAsiaTheme="minorEastAsia"/>
      <w:kern w:val="0"/>
      <w:sz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styleId="20">
    <w:name w:val="annotation reference"/>
    <w:basedOn w:val="18"/>
    <w:semiHidden/>
    <w:unhideWhenUsed/>
    <w:qFormat/>
    <w:uiPriority w:val="99"/>
    <w:rPr>
      <w:sz w:val="21"/>
      <w:szCs w:val="21"/>
    </w:rPr>
  </w:style>
  <w:style w:type="character" w:styleId="21">
    <w:name w:val="footnote reference"/>
    <w:basedOn w:val="18"/>
    <w:qFormat/>
    <w:uiPriority w:val="0"/>
    <w:rPr>
      <w:vertAlign w:val="superscript"/>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paragraph" w:customStyle="1" w:styleId="24">
    <w:name w:val="正文 New"/>
    <w:qFormat/>
    <w:uiPriority w:val="0"/>
    <w:pPr>
      <w:widowControl w:val="0"/>
      <w:jc w:val="both"/>
    </w:pPr>
    <w:rPr>
      <w:rFonts w:ascii="Calibri" w:hAnsi="Calibri" w:eastAsia="宋体" w:cs="黑体"/>
      <w:kern w:val="2"/>
      <w:sz w:val="21"/>
      <w:szCs w:val="22"/>
      <w:lang w:val="en-US" w:eastAsia="zh-CN" w:bidi="ar-SA"/>
    </w:rPr>
  </w:style>
  <w:style w:type="character" w:customStyle="1" w:styleId="25">
    <w:name w:val="标题 1 Char"/>
    <w:basedOn w:val="18"/>
    <w:link w:val="3"/>
    <w:qFormat/>
    <w:uiPriority w:val="9"/>
    <w:rPr>
      <w:rFonts w:ascii="黑体" w:hAnsi="黑体" w:eastAsia="黑体"/>
      <w:bCs/>
      <w:color w:val="000000" w:themeColor="text1"/>
      <w:kern w:val="44"/>
      <w:sz w:val="32"/>
      <w:szCs w:val="36"/>
      <w14:textFill>
        <w14:solidFill>
          <w14:schemeClr w14:val="tx1"/>
        </w14:solidFill>
      </w14:textFill>
    </w:rPr>
  </w:style>
  <w:style w:type="character" w:customStyle="1" w:styleId="26">
    <w:name w:val="标题 3 Char"/>
    <w:basedOn w:val="18"/>
    <w:link w:val="6"/>
    <w:qFormat/>
    <w:uiPriority w:val="9"/>
    <w:rPr>
      <w:rFonts w:eastAsia="仿宋_GB2312" w:cstheme="minorBidi"/>
      <w:b/>
      <w:bCs/>
      <w:kern w:val="2"/>
      <w:sz w:val="32"/>
      <w:szCs w:val="32"/>
    </w:rPr>
  </w:style>
  <w:style w:type="paragraph" w:customStyle="1" w:styleId="27">
    <w:name w:val="标题 3 New"/>
    <w:basedOn w:val="24"/>
    <w:next w:val="24"/>
    <w:qFormat/>
    <w:uiPriority w:val="0"/>
    <w:pPr>
      <w:keepNext/>
      <w:keepLines/>
      <w:spacing w:before="100" w:beforeAutospacing="1" w:after="100" w:afterAutospacing="1" w:line="360" w:lineRule="auto"/>
      <w:ind w:firstLine="200" w:firstLineChars="200"/>
      <w:outlineLvl w:val="2"/>
    </w:pPr>
    <w:rPr>
      <w:b/>
      <w:bCs/>
      <w:sz w:val="32"/>
      <w:szCs w:val="32"/>
    </w:rPr>
  </w:style>
  <w:style w:type="character" w:customStyle="1" w:styleId="28">
    <w:name w:val="font61"/>
    <w:basedOn w:val="18"/>
    <w:qFormat/>
    <w:uiPriority w:val="0"/>
    <w:rPr>
      <w:rFonts w:ascii="楷体" w:hAnsi="楷体" w:eastAsia="楷体" w:cs="楷体"/>
      <w:color w:val="000000"/>
      <w:sz w:val="22"/>
      <w:szCs w:val="22"/>
      <w:u w:val="none"/>
    </w:rPr>
  </w:style>
  <w:style w:type="character" w:customStyle="1" w:styleId="29">
    <w:name w:val="font51"/>
    <w:basedOn w:val="18"/>
    <w:qFormat/>
    <w:uiPriority w:val="0"/>
    <w:rPr>
      <w:rFonts w:hint="default" w:ascii="Times New Roman" w:hAnsi="Times New Roman" w:cs="Times New Roman"/>
      <w:color w:val="000000"/>
      <w:sz w:val="22"/>
      <w:szCs w:val="22"/>
      <w:u w:val="none"/>
    </w:rPr>
  </w:style>
  <w:style w:type="character" w:customStyle="1" w:styleId="30">
    <w:name w:val="font81"/>
    <w:basedOn w:val="18"/>
    <w:qFormat/>
    <w:uiPriority w:val="0"/>
    <w:rPr>
      <w:rFonts w:hint="eastAsia" w:ascii="宋体" w:hAnsi="宋体" w:eastAsia="宋体" w:cs="宋体"/>
      <w:color w:val="000000"/>
      <w:sz w:val="22"/>
      <w:szCs w:val="22"/>
      <w:u w:val="none"/>
    </w:rPr>
  </w:style>
  <w:style w:type="character" w:customStyle="1" w:styleId="31">
    <w:name w:val="font71"/>
    <w:basedOn w:val="18"/>
    <w:qFormat/>
    <w:uiPriority w:val="0"/>
    <w:rPr>
      <w:rFonts w:ascii="楷体" w:hAnsi="楷体" w:eastAsia="楷体" w:cs="楷体"/>
      <w:color w:val="000000"/>
      <w:sz w:val="22"/>
      <w:szCs w:val="22"/>
      <w:u w:val="none"/>
    </w:rPr>
  </w:style>
  <w:style w:type="character" w:customStyle="1" w:styleId="32">
    <w:name w:val="font91"/>
    <w:basedOn w:val="18"/>
    <w:qFormat/>
    <w:uiPriority w:val="0"/>
    <w:rPr>
      <w:rFonts w:hint="eastAsia" w:ascii="楷体" w:hAnsi="楷体" w:eastAsia="楷体" w:cs="楷体"/>
      <w:b/>
      <w:color w:val="auto"/>
      <w:sz w:val="24"/>
      <w:szCs w:val="24"/>
      <w:u w:val="none"/>
    </w:rPr>
  </w:style>
  <w:style w:type="character" w:customStyle="1" w:styleId="33">
    <w:name w:val="font11"/>
    <w:basedOn w:val="18"/>
    <w:qFormat/>
    <w:uiPriority w:val="0"/>
    <w:rPr>
      <w:rFonts w:hint="eastAsia" w:ascii="宋体" w:hAnsi="宋体" w:eastAsia="宋体" w:cs="宋体"/>
      <w:b/>
      <w:color w:val="000000"/>
      <w:sz w:val="24"/>
      <w:szCs w:val="24"/>
      <w:u w:val="none"/>
    </w:rPr>
  </w:style>
  <w:style w:type="character" w:customStyle="1" w:styleId="34">
    <w:name w:val="font01"/>
    <w:basedOn w:val="18"/>
    <w:qFormat/>
    <w:uiPriority w:val="0"/>
    <w:rPr>
      <w:rFonts w:ascii="华文楷体" w:hAnsi="华文楷体" w:eastAsia="华文楷体" w:cs="华文楷体"/>
      <w:b/>
      <w:color w:val="000000"/>
      <w:sz w:val="24"/>
      <w:szCs w:val="24"/>
      <w:u w:val="none"/>
    </w:rPr>
  </w:style>
  <w:style w:type="character" w:customStyle="1" w:styleId="35">
    <w:name w:val="font31"/>
    <w:basedOn w:val="18"/>
    <w:qFormat/>
    <w:uiPriority w:val="0"/>
    <w:rPr>
      <w:rFonts w:hint="default" w:ascii="Times New Roman" w:hAnsi="Times New Roman" w:cs="Times New Roman"/>
      <w:color w:val="000000"/>
      <w:sz w:val="24"/>
      <w:szCs w:val="24"/>
      <w:u w:val="none"/>
    </w:rPr>
  </w:style>
  <w:style w:type="character" w:customStyle="1" w:styleId="36">
    <w:name w:val="font21"/>
    <w:basedOn w:val="18"/>
    <w:qFormat/>
    <w:uiPriority w:val="0"/>
    <w:rPr>
      <w:rFonts w:hint="eastAsia" w:ascii="华文楷体" w:hAnsi="华文楷体" w:eastAsia="华文楷体" w:cs="华文楷体"/>
      <w:color w:val="000000"/>
      <w:sz w:val="24"/>
      <w:szCs w:val="24"/>
      <w:u w:val="none"/>
    </w:rPr>
  </w:style>
  <w:style w:type="character" w:customStyle="1" w:styleId="37">
    <w:name w:val="标题 2 Char"/>
    <w:basedOn w:val="18"/>
    <w:link w:val="5"/>
    <w:qFormat/>
    <w:uiPriority w:val="9"/>
    <w:rPr>
      <w:rFonts w:eastAsia="方正楷体简体" w:asciiTheme="majorHAnsi" w:hAnsiTheme="majorHAnsi" w:cstheme="majorBidi"/>
      <w:b/>
      <w:bCs/>
      <w:kern w:val="2"/>
      <w:sz w:val="32"/>
      <w:szCs w:val="32"/>
    </w:rPr>
  </w:style>
  <w:style w:type="paragraph" w:customStyle="1" w:styleId="38">
    <w:name w:val="TOC 标题1"/>
    <w:basedOn w:val="3"/>
    <w:next w:val="1"/>
    <w:unhideWhenUsed/>
    <w:qFormat/>
    <w:uiPriority w:val="39"/>
    <w:pPr>
      <w:widowControl/>
      <w:tabs>
        <w:tab w:val="clear" w:pos="360"/>
      </w:tabs>
      <w:spacing w:before="240" w:line="259" w:lineRule="auto"/>
      <w:contextualSpacing w:val="0"/>
      <w:outlineLvl w:val="9"/>
    </w:pPr>
    <w:rPr>
      <w:rFonts w:asciiTheme="majorHAnsi" w:hAnsiTheme="majorHAnsi" w:eastAsiaTheme="majorEastAsia" w:cstheme="majorBidi"/>
      <w:b/>
      <w:bCs w:val="0"/>
      <w:color w:val="2E75B6" w:themeColor="accent1" w:themeShade="BF"/>
      <w:kern w:val="0"/>
      <w:szCs w:val="32"/>
    </w:rPr>
  </w:style>
  <w:style w:type="character" w:customStyle="1" w:styleId="39">
    <w:name w:val="样式正文1 字符"/>
    <w:link w:val="40"/>
    <w:qFormat/>
    <w:uiPriority w:val="0"/>
    <w:rPr>
      <w:rFonts w:eastAsia="仿宋_GB2312"/>
      <w:bCs/>
      <w:sz w:val="30"/>
      <w:szCs w:val="32"/>
    </w:rPr>
  </w:style>
  <w:style w:type="paragraph" w:customStyle="1" w:styleId="40">
    <w:name w:val="样式正文1"/>
    <w:basedOn w:val="1"/>
    <w:link w:val="39"/>
    <w:qFormat/>
    <w:uiPriority w:val="0"/>
    <w:pPr>
      <w:adjustRightInd w:val="0"/>
      <w:snapToGrid w:val="0"/>
      <w:spacing w:line="560" w:lineRule="exact"/>
      <w:ind w:firstLine="600"/>
    </w:pPr>
    <w:rPr>
      <w:bCs/>
      <w:kern w:val="0"/>
      <w:sz w:val="30"/>
      <w:szCs w:val="32"/>
    </w:rPr>
  </w:style>
  <w:style w:type="character" w:customStyle="1" w:styleId="41">
    <w:name w:val="批注框文本 Char"/>
    <w:basedOn w:val="18"/>
    <w:link w:val="9"/>
    <w:semiHidden/>
    <w:qFormat/>
    <w:uiPriority w:val="99"/>
    <w:rPr>
      <w:rFonts w:eastAsia="仿宋_GB2312"/>
      <w:kern w:val="2"/>
      <w:sz w:val="18"/>
      <w:szCs w:val="18"/>
    </w:rPr>
  </w:style>
  <w:style w:type="paragraph" w:styleId="42">
    <w:name w:val="List Paragraph"/>
    <w:basedOn w:val="1"/>
    <w:qFormat/>
    <w:uiPriority w:val="99"/>
    <w:pPr>
      <w:ind w:firstLine="420"/>
    </w:pPr>
  </w:style>
  <w:style w:type="character" w:customStyle="1" w:styleId="43">
    <w:name w:val="列出段落 Char"/>
    <w:link w:val="44"/>
    <w:qFormat/>
    <w:uiPriority w:val="0"/>
    <w:rPr>
      <w:sz w:val="28"/>
      <w:szCs w:val="24"/>
    </w:rPr>
  </w:style>
  <w:style w:type="paragraph" w:customStyle="1" w:styleId="44">
    <w:name w:val="列出段落1"/>
    <w:basedOn w:val="1"/>
    <w:link w:val="43"/>
    <w:qFormat/>
    <w:uiPriority w:val="0"/>
    <w:pPr>
      <w:widowControl/>
      <w:spacing w:line="240" w:lineRule="auto"/>
      <w:ind w:firstLine="420" w:firstLineChars="0"/>
    </w:pPr>
    <w:rPr>
      <w:rFonts w:eastAsia="宋体"/>
      <w:kern w:val="0"/>
      <w:sz w:val="28"/>
    </w:rPr>
  </w:style>
  <w:style w:type="paragraph" w:customStyle="1" w:styleId="45">
    <w:name w:val="正文段落"/>
    <w:basedOn w:val="1"/>
    <w:qFormat/>
    <w:uiPriority w:val="0"/>
    <w:pPr>
      <w:ind w:firstLine="0" w:firstLineChars="0"/>
      <w:contextualSpacing/>
    </w:pPr>
    <w:rPr>
      <w:rFonts w:cstheme="majorBidi"/>
      <w:bCs/>
      <w:kern w:val="44"/>
      <w:szCs w:val="28"/>
    </w:rPr>
  </w:style>
  <w:style w:type="table" w:customStyle="1" w:styleId="46">
    <w:name w:val="网格型1"/>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7">
    <w:name w:val="样式 首行缩进:  2 字符"/>
    <w:basedOn w:val="1"/>
    <w:qFormat/>
    <w:uiPriority w:val="0"/>
    <w:pPr>
      <w:ind w:firstLine="48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L:\2021\03-&#27827;&#28304;&#24066;&#33021;&#28304;&#21457;&#23637;&#8220;&#21313;&#22235;&#20116;&#8221;&#35268;&#21010;&#19982;&#27827;&#28304;&#24066;&#8220;&#21313;&#22235;&#20116;&#8221;&#33410;&#33021;&#35268;&#21010;\02-&#25910;&#36164;&#26448;&#26009;\&#34917;&#20805;&#26448;&#26009;\&#33021;&#28304;&#21457;&#23637;&#21313;&#22235;&#20116;&#35268;&#21010;&#26448;&#26009;&#65288;&#27827;&#28304;&#20379;&#30005;&#23616;&#21453;&#39304;&#65289;\&#33021;&#28304;&#21457;&#23637;&#21313;&#22235;&#20116;&#35268;&#21010;&#26448;&#26009;&#65288;&#27827;&#28304;&#20379;&#30005;&#23616;&#65289;\&#38468;&#20214;1&#65306;2020&#24180;&#27827;&#28304;&#30005;&#32593;&#29616;&#29366;&#32479;&#35745;&#34920;.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L:\2021\03-&#27827;&#28304;&#24066;&#33021;&#28304;&#21457;&#23637;&#8220;&#21313;&#22235;&#20116;&#8221;&#35268;&#21010;&#19982;&#27827;&#28304;&#24066;&#8220;&#21313;&#22235;&#20116;&#8221;&#33410;&#33021;&#35268;&#21010;\02-&#25910;&#36164;&#26448;&#26009;\&#34917;&#20805;&#26448;&#26009;\&#33021;&#28304;&#21457;&#23637;&#21313;&#22235;&#20116;&#35268;&#21010;&#26448;&#26009;&#65288;&#27827;&#28304;&#20379;&#30005;&#23616;&#21453;&#39304;&#65289;\&#33021;&#28304;&#21457;&#23637;&#21313;&#22235;&#20116;&#35268;&#21010;&#26448;&#26009;&#65288;&#27827;&#28304;&#20379;&#30005;&#23616;&#65289;\&#38468;&#20214;1&#65306;2020&#24180;&#27827;&#28304;&#30005;&#32593;&#29616;&#29366;&#32479;&#35745;&#34920;.xls"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L:\2021\03-&#27827;&#28304;&#24066;&#33021;&#28304;&#21457;&#23637;&#8220;&#21313;&#22235;&#20116;&#8221;&#35268;&#21010;&#19982;&#27827;&#28304;&#24066;&#8220;&#21313;&#22235;&#20116;&#8221;&#33410;&#33021;&#35268;&#21010;\02-&#25910;&#36164;&#26448;&#26009;\&#34917;&#20805;&#26448;&#26009;\&#33021;&#28304;&#21457;&#23637;&#21313;&#22235;&#20116;&#35268;&#21010;&#26448;&#26009;&#65288;&#27827;&#28304;&#20379;&#30005;&#23616;&#21453;&#39304;&#65289;\&#33021;&#28304;&#21457;&#23637;&#21313;&#22235;&#20116;&#35268;&#21010;&#26448;&#26009;&#65288;&#27827;&#28304;&#20379;&#30005;&#23616;&#65289;\&#38468;&#20214;1&#65306;2020&#24180;&#27827;&#28304;&#30005;&#32593;&#29616;&#29366;&#32479;&#3574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'[附件1：2020年河源电网现状统计表.xls]电源装机'!$J$24</c:f>
              <c:strCache>
                <c:ptCount val="1"/>
                <c:pt idx="0">
                  <c:v>2015年电源装机（万千瓦）</c:v>
                </c:pt>
              </c:strCache>
            </c:strRef>
          </c:tx>
          <c:spPr>
            <a:solidFill>
              <a:schemeClr val="accent1"/>
            </a:solidFill>
            <a:ln>
              <a:noFill/>
            </a:ln>
            <a:effectLst/>
          </c:spPr>
          <c:invertIfNegative val="0"/>
          <c:dLbls>
            <c:dLbl>
              <c:idx val="1"/>
              <c:layout>
                <c:manualLayout>
                  <c:x val="-0.0050178412132025"/>
                  <c:y val="0.01070154577883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'[附件1：2020年河源电网现状统计表.xls]电源装机'!$I$25:$I$29</c:f>
              <c:strCache>
                <c:ptCount val="5"/>
                <c:pt idx="0">
                  <c:v>煤电</c:v>
                </c:pt>
                <c:pt idx="1">
                  <c:v>水电</c:v>
                </c:pt>
                <c:pt idx="2">
                  <c:v>光伏发电</c:v>
                </c:pt>
                <c:pt idx="3">
                  <c:v>风电</c:v>
                </c:pt>
                <c:pt idx="4">
                  <c:v>生物质发电及其他</c:v>
                </c:pt>
              </c:strCache>
            </c:strRef>
          </c:cat>
          <c:val>
            <c:numRef>
              <c:f>'[附件1：2020年河源电网现状统计表.xls]电源装机'!$J$25:$J$29</c:f>
              <c:numCache>
                <c:formatCode>General</c:formatCode>
                <c:ptCount val="5"/>
                <c:pt idx="0">
                  <c:v>120</c:v>
                </c:pt>
                <c:pt idx="1">
                  <c:v>122.37</c:v>
                </c:pt>
                <c:pt idx="2">
                  <c:v>2.01</c:v>
                </c:pt>
                <c:pt idx="3">
                  <c:v>4.95</c:v>
                </c:pt>
                <c:pt idx="4">
                  <c:v>2.1</c:v>
                </c:pt>
              </c:numCache>
            </c:numRef>
          </c:val>
        </c:ser>
        <c:ser>
          <c:idx val="1"/>
          <c:order val="1"/>
          <c:tx>
            <c:strRef>
              <c:f>'[附件1：2020年河源电网现状统计表.xls]电源装机'!$K$24</c:f>
              <c:strCache>
                <c:ptCount val="1"/>
                <c:pt idx="0">
                  <c:v>2020年电源装机（万千瓦）</c:v>
                </c:pt>
              </c:strCache>
            </c:strRef>
          </c:tx>
          <c:spPr>
            <a:solidFill>
              <a:schemeClr val="accent2"/>
            </a:solidFill>
            <a:ln>
              <a:noFill/>
            </a:ln>
            <a:effectLst/>
          </c:spPr>
          <c:invertIfNegative val="0"/>
          <c:dLbls>
            <c:dLbl>
              <c:idx val="1"/>
              <c:layout>
                <c:manualLayout>
                  <c:x val="0.010035682426405"/>
                  <c:y val="0.003567181926278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'[附件1：2020年河源电网现状统计表.xls]电源装机'!$I$25:$I$29</c:f>
              <c:strCache>
                <c:ptCount val="5"/>
                <c:pt idx="0">
                  <c:v>煤电</c:v>
                </c:pt>
                <c:pt idx="1">
                  <c:v>水电</c:v>
                </c:pt>
                <c:pt idx="2">
                  <c:v>光伏发电</c:v>
                </c:pt>
                <c:pt idx="3">
                  <c:v>风电</c:v>
                </c:pt>
                <c:pt idx="4">
                  <c:v>生物质发电及其他</c:v>
                </c:pt>
              </c:strCache>
            </c:strRef>
          </c:cat>
          <c:val>
            <c:numRef>
              <c:f>'[附件1：2020年河源电网现状统计表.xls]电源装机'!$K$25:$K$29</c:f>
              <c:numCache>
                <c:formatCode>General</c:formatCode>
                <c:ptCount val="5"/>
                <c:pt idx="0">
                  <c:v>120</c:v>
                </c:pt>
                <c:pt idx="1">
                  <c:v>126.24</c:v>
                </c:pt>
                <c:pt idx="2">
                  <c:v>38.13</c:v>
                </c:pt>
                <c:pt idx="3">
                  <c:v>9.9</c:v>
                </c:pt>
                <c:pt idx="4">
                  <c:v>2.17</c:v>
                </c:pt>
              </c:numCache>
            </c:numRef>
          </c:val>
        </c:ser>
        <c:dLbls>
          <c:showLegendKey val="0"/>
          <c:showVal val="1"/>
          <c:showCatName val="0"/>
          <c:showSerName val="0"/>
          <c:showPercent val="0"/>
          <c:showBubbleSize val="0"/>
        </c:dLbls>
        <c:gapWidth val="219"/>
        <c:overlap val="-27"/>
        <c:axId val="1443128448"/>
        <c:axId val="1443130624"/>
      </c:barChart>
      <c:catAx>
        <c:axId val="14431284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crossAx val="1443130624"/>
        <c:crosses val="autoZero"/>
        <c:auto val="1"/>
        <c:lblAlgn val="ctr"/>
        <c:lblOffset val="100"/>
        <c:noMultiLvlLbl val="0"/>
      </c:catAx>
      <c:valAx>
        <c:axId val="14431306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Times New Roman" panose="02020603050405020304" charset="0"/>
                <a:ea typeface="+mn-ea"/>
                <a:cs typeface="+mn-cs"/>
              </a:defRPr>
            </a:pPr>
          </a:p>
        </c:txPr>
        <c:crossAx val="1443128448"/>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Times New Roman" panose="02020603050405020304" charset="0"/>
                <a:ea typeface="宋体" panose="02010600030101010101"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Times New Roman" panose="02020603050405020304" charset="0"/>
                <a:ea typeface="宋体" panose="02010600030101010101"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Times New Roman" panose="02020603050405020304" charset="0"/>
              <a:ea typeface="宋体" panose="0201060003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solidFill>
                  <a:schemeClr val="tx1">
                    <a:lumMod val="65000"/>
                    <a:lumOff val="35000"/>
                  </a:schemeClr>
                </a:solidFill>
                <a:uFillTx/>
                <a:latin typeface="Times New Roman" panose="02020603050405020304" charset="0"/>
                <a:ea typeface="宋体" panose="02010600030101010101" charset="-122"/>
              </a:rPr>
              <a:t>2015</a:t>
            </a:r>
            <a:r>
              <a:rPr lang="zh-CN" altLang="en-US">
                <a:solidFill>
                  <a:schemeClr val="tx1">
                    <a:lumMod val="65000"/>
                    <a:lumOff val="35000"/>
                  </a:schemeClr>
                </a:solidFill>
                <a:uFillTx/>
                <a:latin typeface="Times New Roman" panose="02020603050405020304" charset="0"/>
                <a:ea typeface="宋体" panose="02010600030101010101" charset="-122"/>
              </a:rPr>
              <a:t>年</a:t>
            </a:r>
            <a:endParaRPr lang="zh-CN" altLang="en-US">
              <a:solidFill>
                <a:schemeClr val="tx1">
                  <a:lumMod val="65000"/>
                  <a:lumOff val="35000"/>
                </a:schemeClr>
              </a:solidFill>
              <a:uFillTx/>
              <a:latin typeface="Times New Roman" panose="02020603050405020304" charset="0"/>
              <a:ea typeface="宋体" panose="02010600030101010101" charset="-122"/>
            </a:endParaRPr>
          </a:p>
        </c:rich>
      </c:tx>
      <c:layout/>
      <c:overlay val="0"/>
      <c:spPr>
        <a:noFill/>
        <a:ln>
          <a:noFill/>
        </a:ln>
        <a:effectLst/>
      </c:spPr>
    </c:title>
    <c:autoTitleDeleted val="0"/>
    <c:plotArea>
      <c:layout/>
      <c:pieChart>
        <c:varyColors val="1"/>
        <c:ser>
          <c:idx val="0"/>
          <c:order val="0"/>
          <c:tx>
            <c:strRef>
              <c:f>'[附件1：2020年河源电网现状统计表.xls]电源装机'!$N$24</c:f>
              <c:strCache>
                <c:ptCount val="1"/>
                <c:pt idx="0">
                  <c:v>2015年</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2"/>
              <c:layout>
                <c:manualLayout>
                  <c:x val="-0.0886670417419311"/>
                  <c:y val="0.01184033193007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77761289435393"/>
                  <c:y val="-0.008958382127517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71297462225855"/>
                  <c:y val="-0.005470490265950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Times New Roman" panose="02020603050405020304" charset="0"/>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'[附件1：2020年河源电网现状统计表.xls]电源装机'!$M$25:$M$29</c:f>
              <c:strCache>
                <c:ptCount val="5"/>
                <c:pt idx="0">
                  <c:v>煤电</c:v>
                </c:pt>
                <c:pt idx="1">
                  <c:v>水电</c:v>
                </c:pt>
                <c:pt idx="2">
                  <c:v>光伏发电</c:v>
                </c:pt>
                <c:pt idx="3">
                  <c:v>风电</c:v>
                </c:pt>
                <c:pt idx="4">
                  <c:v>生物质发电及其他</c:v>
                </c:pt>
              </c:strCache>
            </c:strRef>
          </c:cat>
          <c:val>
            <c:numRef>
              <c:f>'[附件1：2020年河源电网现状统计表.xls]电源装机'!$N$25:$N$29</c:f>
              <c:numCache>
                <c:formatCode>0.0%</c:formatCode>
                <c:ptCount val="5"/>
                <c:pt idx="0">
                  <c:v>0.477270015511276</c:v>
                </c:pt>
                <c:pt idx="1">
                  <c:v>0.486696098317623</c:v>
                </c:pt>
                <c:pt idx="2">
                  <c:v>0.00799427275981386</c:v>
                </c:pt>
                <c:pt idx="3">
                  <c:v>0.0196873881398401</c:v>
                </c:pt>
                <c:pt idx="4">
                  <c:v>0.00835222527144732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3"/>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4"/>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solidFill>
                  <a:schemeClr val="tx1">
                    <a:lumMod val="65000"/>
                    <a:lumOff val="35000"/>
                  </a:schemeClr>
                </a:solidFill>
                <a:uFillTx/>
                <a:latin typeface="Times New Roman" panose="02020603050405020304" charset="0"/>
              </a:rPr>
              <a:t>2020</a:t>
            </a:r>
            <a:r>
              <a:rPr lang="zh-CN" altLang="en-US"/>
              <a:t>年</a:t>
            </a:r>
            <a:endParaRPr lang="zh-CN" altLang="en-US"/>
          </a:p>
        </c:rich>
      </c:tx>
      <c:layout/>
      <c:overlay val="0"/>
      <c:spPr>
        <a:noFill/>
        <a:ln>
          <a:noFill/>
        </a:ln>
        <a:effectLst/>
      </c:spPr>
    </c:title>
    <c:autoTitleDeleted val="0"/>
    <c:plotArea>
      <c:layout/>
      <c:pieChart>
        <c:varyColors val="1"/>
        <c:ser>
          <c:idx val="0"/>
          <c:order val="0"/>
          <c:tx>
            <c:strRef>
              <c:f>'[附件1：2020年河源电网现状统计表.xls]电源装机'!$R$24</c:f>
              <c:strCache>
                <c:ptCount val="1"/>
                <c:pt idx="0">
                  <c:v>2020年</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4"/>
              <c:layout>
                <c:manualLayout>
                  <c:x val="0.101160474191686"/>
                  <c:y val="-0.005322442420927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cap="none" spc="0" normalizeH="0" baseline="0">
                    <a:solidFill>
                      <a:schemeClr val="tx1">
                        <a:lumMod val="75000"/>
                        <a:lumOff val="25000"/>
                      </a:schemeClr>
                    </a:solidFill>
                    <a:uFill>
                      <a:solidFill>
                        <a:schemeClr val="tx1">
                          <a:lumMod val="75000"/>
                          <a:lumOff val="25000"/>
                        </a:schemeClr>
                      </a:solidFill>
                    </a:uFill>
                    <a:latin typeface="Times New Roman" panose="02020603050405020304" charset="0"/>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'[附件1：2020年河源电网现状统计表.xls]电源装机'!$Q$25:$Q$29</c:f>
              <c:strCache>
                <c:ptCount val="5"/>
                <c:pt idx="0">
                  <c:v>煤电</c:v>
                </c:pt>
                <c:pt idx="1">
                  <c:v>水电</c:v>
                </c:pt>
                <c:pt idx="2">
                  <c:v>光伏发电</c:v>
                </c:pt>
                <c:pt idx="3">
                  <c:v>风电</c:v>
                </c:pt>
                <c:pt idx="4">
                  <c:v>生物质发电及其他</c:v>
                </c:pt>
              </c:strCache>
            </c:strRef>
          </c:cat>
          <c:val>
            <c:numRef>
              <c:f>'[附件1：2020年河源电网现状统计表.xls]电源装机'!$R$25:$R$29</c:f>
              <c:numCache>
                <c:formatCode>0.0%</c:formatCode>
                <c:ptCount val="5"/>
                <c:pt idx="0">
                  <c:v>0.404803670219943</c:v>
                </c:pt>
                <c:pt idx="1">
                  <c:v>0.42585346107138</c:v>
                </c:pt>
                <c:pt idx="2">
                  <c:v>0.128626366212387</c:v>
                </c:pt>
                <c:pt idx="3">
                  <c:v>0.0333963027931453</c:v>
                </c:pt>
                <c:pt idx="4">
                  <c:v>0.00732019970314397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1"/>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2"/>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3"/>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egendEntry>
        <c:idx val="4"/>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宋体" panose="02010600030101010101" charset="-122"/>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1BA53-77A1-4AE1-84E6-C01A041D2AB6}">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47</Pages>
  <Words>3659</Words>
  <Characters>20861</Characters>
  <Lines>173</Lines>
  <Paragraphs>48</Paragraphs>
  <TotalTime>0</TotalTime>
  <ScaleCrop>false</ScaleCrop>
  <LinksUpToDate>false</LinksUpToDate>
  <CharactersWithSpaces>24472</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2022-01-13T10:56:00Z</dcterms:created>
  <dc:creator>lenovo</dc:creator>
  <cp:lastModifiedBy>叶国卿</cp:lastModifiedBy>
  <dcterms:modified xsi:type="dcterms:W3CDTF">2022-06-14T01:59:09Z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8888F532DE7D4393958B640962E13343</vt:lpwstr>
  </property>
</Properties>
</file>