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楷体简体"/>
          <w:sz w:val="40"/>
          <w:szCs w:val="40"/>
        </w:rPr>
      </w:pPr>
      <w:r>
        <w:rPr>
          <w:rFonts w:hint="eastAsia" w:eastAsia="方正小标宋简体"/>
          <w:kern w:val="0"/>
          <w:sz w:val="40"/>
          <w:szCs w:val="40"/>
          <w:lang w:eastAsia="zh-CN"/>
        </w:rPr>
        <w:t>纳入升级改造的</w:t>
      </w:r>
      <w:r>
        <w:rPr>
          <w:rFonts w:hint="eastAsia" w:eastAsia="方正小标宋简体"/>
          <w:kern w:val="0"/>
          <w:sz w:val="40"/>
          <w:szCs w:val="40"/>
        </w:rPr>
        <w:t>源城辖区内21个农贸市场信息表</w:t>
      </w:r>
    </w:p>
    <w:tbl>
      <w:tblPr>
        <w:tblStyle w:val="6"/>
        <w:tblW w:w="13103" w:type="dxa"/>
        <w:jc w:val="center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064"/>
        <w:gridCol w:w="2064"/>
        <w:gridCol w:w="3242"/>
        <w:gridCol w:w="1003"/>
        <w:gridCol w:w="1221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jc w:val="center"/>
              <w:rPr>
                <w:rFonts w:hint="eastAsia" w:hAnsi="黑体" w:eastAsia="黑体"/>
                <w:bCs/>
                <w:kern w:val="0"/>
                <w:sz w:val="24"/>
                <w:lang w:eastAsia="zh-CN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  <w:lang w:eastAsia="zh-CN"/>
              </w:rPr>
              <w:t>责任单位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</w:rPr>
              <w:t>具体地址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</w:rPr>
              <w:t>经营面积（㎡）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hAnsi="黑体" w:eastAsia="黑体"/>
                <w:bCs/>
                <w:kern w:val="0"/>
                <w:sz w:val="24"/>
                <w:lang w:eastAsia="zh-CN"/>
              </w:rPr>
              <w:t>奖励</w:t>
            </w:r>
            <w:r>
              <w:rPr>
                <w:rFonts w:hAnsi="黑体" w:eastAsia="黑体"/>
                <w:bCs/>
                <w:kern w:val="0"/>
                <w:sz w:val="24"/>
              </w:rPr>
              <w:t>资金</w:t>
            </w:r>
            <w:r>
              <w:rPr>
                <w:rFonts w:hint="eastAsia" w:hAnsi="黑体" w:eastAsia="黑体"/>
                <w:bCs/>
                <w:kern w:val="0"/>
                <w:sz w:val="24"/>
                <w:lang w:eastAsia="zh-CN"/>
              </w:rPr>
              <w:t>限</w:t>
            </w:r>
            <w:r>
              <w:rPr>
                <w:rFonts w:hAnsi="黑体" w:eastAsia="黑体"/>
                <w:bCs/>
                <w:kern w:val="0"/>
                <w:sz w:val="24"/>
              </w:rPr>
              <w:t>额（万）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  <w:lang w:eastAsia="zh-CN"/>
              </w:rPr>
              <w:t>源城区政府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公园市场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公园东路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1500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区</w:t>
            </w:r>
            <w:r>
              <w:rPr>
                <w:rFonts w:eastAsia="方正仿宋简体"/>
                <w:bCs/>
                <w:kern w:val="0"/>
                <w:sz w:val="24"/>
              </w:rPr>
              <w:t>国资所有，区城建公司经营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新兴农贸市场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上城街道新兴路3号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</w:t>
            </w:r>
            <w:r>
              <w:rPr>
                <w:rFonts w:hint="eastAsia" w:eastAsia="方正仿宋简体"/>
                <w:kern w:val="0"/>
                <w:sz w:val="24"/>
              </w:rPr>
              <w:t>2</w:t>
            </w:r>
            <w:r>
              <w:rPr>
                <w:rFonts w:eastAsia="方正仿宋简体"/>
                <w:kern w:val="0"/>
                <w:sz w:val="24"/>
              </w:rPr>
              <w:t>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区旧城改造办所有，私人承包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东华市场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红星路北边东华路东边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2200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业主经营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新江农贸市场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新江二路78号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2080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业主经营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万绿金沟湾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万绿大道源西办事处侧边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2895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业主经营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大同综合市场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大同路北茶店回迁点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3880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50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业主经营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理想综合市场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雅居乐花园一期综合楼A101号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3500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50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业主经营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兴源综合市场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东埔街道兴源路北新风路东兴源综合市场（第一层）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2300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业主经营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四伙记农贸市场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文明路四伙记华昌街二巷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2000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业主经营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eastAsia="zh-CN"/>
              </w:rPr>
              <w:t>永和综合市场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hint="eastAsia" w:eastAsia="方正仿宋简体"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eastAsia="zh-CN"/>
              </w:rPr>
              <w:t>永和路北与华达街交汇处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3600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eastAsia="zh-CN"/>
              </w:rPr>
              <w:t>业主经营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  <w:lang w:eastAsia="zh-CN"/>
              </w:rPr>
              <w:t>市国资委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永福农贸中心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东埔街道永福西路8号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3381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50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市</w:t>
            </w:r>
            <w:r>
              <w:rPr>
                <w:rFonts w:eastAsia="方正仿宋简体"/>
                <w:kern w:val="0"/>
                <w:sz w:val="24"/>
              </w:rPr>
              <w:t>国资所有，私人承包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永丰农贸市场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东埔街道永和西路219号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1653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大地集团自营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上角水产品综合农贸市场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源城区上角赖屋坪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1604.43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市</w:t>
            </w:r>
            <w:r>
              <w:rPr>
                <w:rFonts w:eastAsia="方正仿宋简体"/>
                <w:kern w:val="0"/>
                <w:sz w:val="24"/>
              </w:rPr>
              <w:t>国资所有，产权市场物管处与市金叶公司各占50%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bookmarkStart w:id="0" w:name="_GoBack" w:colFirst="4" w:colLast="5"/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火车站集贸市场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祥兴路火车站集贸市场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1300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方正仿宋简体"/>
                <w:color w:val="auto"/>
                <w:kern w:val="0"/>
                <w:sz w:val="24"/>
              </w:rPr>
              <w:t>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市</w:t>
            </w:r>
            <w:r>
              <w:rPr>
                <w:rFonts w:eastAsia="方正仿宋简体"/>
                <w:kern w:val="0"/>
                <w:sz w:val="24"/>
              </w:rPr>
              <w:t>国资所有，铁发公司自营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东城一农贸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文祥路东面、永祥路南边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1500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市</w:t>
            </w:r>
            <w:r>
              <w:rPr>
                <w:rFonts w:eastAsia="方正仿宋简体"/>
                <w:bCs/>
                <w:kern w:val="0"/>
                <w:sz w:val="24"/>
              </w:rPr>
              <w:t>国资所有，私人承包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群丰农贸市场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东埔街道兴源东路北边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2000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市</w:t>
            </w:r>
            <w:r>
              <w:rPr>
                <w:rFonts w:eastAsia="方正仿宋简体"/>
                <w:bCs/>
                <w:kern w:val="0"/>
                <w:sz w:val="24"/>
              </w:rPr>
              <w:t>国资所有，私人承包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永安农贸市场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长安西路21号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2179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市</w:t>
            </w:r>
            <w:r>
              <w:rPr>
                <w:rFonts w:eastAsia="方正仿宋简体"/>
                <w:kern w:val="0"/>
                <w:sz w:val="24"/>
              </w:rPr>
              <w:t>国资所有，私人承包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kern w:val="0"/>
                <w:sz w:val="24"/>
                <w:lang w:eastAsia="zh-CN"/>
              </w:rPr>
            </w:pPr>
          </w:p>
        </w:tc>
        <w:tc>
          <w:tcPr>
            <w:tcW w:w="206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中心市场</w:t>
            </w:r>
          </w:p>
        </w:tc>
        <w:tc>
          <w:tcPr>
            <w:tcW w:w="324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新江街道中心街74号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一楼3950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50</w:t>
            </w:r>
          </w:p>
        </w:tc>
        <w:tc>
          <w:tcPr>
            <w:tcW w:w="28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市</w:t>
            </w:r>
            <w:r>
              <w:rPr>
                <w:rFonts w:eastAsia="方正仿宋简体"/>
                <w:kern w:val="0"/>
                <w:sz w:val="24"/>
              </w:rPr>
              <w:t>国资所有，其中一楼产权属市场物管处所有，二、三楼属市金叶公司所有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二、三楼7800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70</w:t>
            </w:r>
          </w:p>
        </w:tc>
        <w:tc>
          <w:tcPr>
            <w:tcW w:w="28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古亭市场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新江街道中心街5号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2200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30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私人所有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城南市场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新江街道上城南门路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1872.6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市</w:t>
            </w:r>
            <w:r>
              <w:rPr>
                <w:rFonts w:eastAsia="方正仿宋简体"/>
                <w:kern w:val="0"/>
                <w:sz w:val="24"/>
              </w:rPr>
              <w:t>国资所有，市场物管处所有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龙尾坝市场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龙尾坝路龙苑开发区综合市场一楼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1375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20</w:t>
            </w:r>
          </w:p>
        </w:tc>
        <w:tc>
          <w:tcPr>
            <w:tcW w:w="289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市</w:t>
            </w:r>
            <w:r>
              <w:rPr>
                <w:rFonts w:eastAsia="方正仿宋简体"/>
                <w:kern w:val="0"/>
                <w:sz w:val="24"/>
              </w:rPr>
              <w:t>国资所有，市金叶公司所有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1248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补贴资金共730万元，其中，市政府补贴489.1万元，区政府补贴240.9万元。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经营面积以市场房产证为准；市场升级改造实际投入资金少于奖励资金的，按实际投入资金额予以奖励。</w:t>
            </w:r>
          </w:p>
        </w:tc>
      </w:tr>
    </w:tbl>
    <w:p>
      <w:pPr>
        <w:spacing w:line="20" w:lineRule="exact"/>
        <w:rPr>
          <w:rFonts w:eastAsia="方正仿宋简体"/>
          <w:color w:val="000000"/>
          <w:kern w:val="0"/>
          <w:szCs w:val="21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15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F4763"/>
    <w:multiLevelType w:val="singleLevel"/>
    <w:tmpl w:val="5E6F476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7EA"/>
    <w:rsid w:val="0002143E"/>
    <w:rsid w:val="00033CAC"/>
    <w:rsid w:val="00047BDD"/>
    <w:rsid w:val="0005235E"/>
    <w:rsid w:val="000A367F"/>
    <w:rsid w:val="000A44BB"/>
    <w:rsid w:val="000D453A"/>
    <w:rsid w:val="000D4EB7"/>
    <w:rsid w:val="00111E29"/>
    <w:rsid w:val="0012292A"/>
    <w:rsid w:val="001577C2"/>
    <w:rsid w:val="00171F1F"/>
    <w:rsid w:val="00172A27"/>
    <w:rsid w:val="001A7669"/>
    <w:rsid w:val="001B0F07"/>
    <w:rsid w:val="001C7F4A"/>
    <w:rsid w:val="001F3A28"/>
    <w:rsid w:val="002208A9"/>
    <w:rsid w:val="00227595"/>
    <w:rsid w:val="002374E0"/>
    <w:rsid w:val="00266CB2"/>
    <w:rsid w:val="002C45CE"/>
    <w:rsid w:val="002E2B72"/>
    <w:rsid w:val="003106B3"/>
    <w:rsid w:val="00326B99"/>
    <w:rsid w:val="0032774A"/>
    <w:rsid w:val="00336002"/>
    <w:rsid w:val="00344B43"/>
    <w:rsid w:val="00344C77"/>
    <w:rsid w:val="00356136"/>
    <w:rsid w:val="00362874"/>
    <w:rsid w:val="00370E83"/>
    <w:rsid w:val="00391A1D"/>
    <w:rsid w:val="003A0D3C"/>
    <w:rsid w:val="003A1F58"/>
    <w:rsid w:val="003E0976"/>
    <w:rsid w:val="003E6184"/>
    <w:rsid w:val="0046459B"/>
    <w:rsid w:val="00477174"/>
    <w:rsid w:val="004863C2"/>
    <w:rsid w:val="00492AA4"/>
    <w:rsid w:val="004933B1"/>
    <w:rsid w:val="00495748"/>
    <w:rsid w:val="004A161C"/>
    <w:rsid w:val="004B5281"/>
    <w:rsid w:val="004C2CE9"/>
    <w:rsid w:val="004E609F"/>
    <w:rsid w:val="00502207"/>
    <w:rsid w:val="00513BBD"/>
    <w:rsid w:val="00520869"/>
    <w:rsid w:val="0052518D"/>
    <w:rsid w:val="005313E1"/>
    <w:rsid w:val="005613D3"/>
    <w:rsid w:val="00592481"/>
    <w:rsid w:val="00596AD1"/>
    <w:rsid w:val="005A0E12"/>
    <w:rsid w:val="005B184D"/>
    <w:rsid w:val="005D0AE7"/>
    <w:rsid w:val="005D2CA6"/>
    <w:rsid w:val="005D4364"/>
    <w:rsid w:val="005D459F"/>
    <w:rsid w:val="005E662F"/>
    <w:rsid w:val="0061129E"/>
    <w:rsid w:val="00612A45"/>
    <w:rsid w:val="00653197"/>
    <w:rsid w:val="006628C3"/>
    <w:rsid w:val="00683436"/>
    <w:rsid w:val="006902CE"/>
    <w:rsid w:val="006F35B1"/>
    <w:rsid w:val="007036A5"/>
    <w:rsid w:val="00712F7D"/>
    <w:rsid w:val="00753DB5"/>
    <w:rsid w:val="007762A0"/>
    <w:rsid w:val="007B385B"/>
    <w:rsid w:val="007D19C4"/>
    <w:rsid w:val="007E405A"/>
    <w:rsid w:val="007E6714"/>
    <w:rsid w:val="007F3165"/>
    <w:rsid w:val="00835CB3"/>
    <w:rsid w:val="00836F72"/>
    <w:rsid w:val="008613D1"/>
    <w:rsid w:val="0088257F"/>
    <w:rsid w:val="00886980"/>
    <w:rsid w:val="00887BCC"/>
    <w:rsid w:val="00887C7D"/>
    <w:rsid w:val="008A495F"/>
    <w:rsid w:val="008A7D4C"/>
    <w:rsid w:val="008D2D51"/>
    <w:rsid w:val="008E3094"/>
    <w:rsid w:val="008E5C34"/>
    <w:rsid w:val="008E7D15"/>
    <w:rsid w:val="00917A74"/>
    <w:rsid w:val="00920311"/>
    <w:rsid w:val="00977067"/>
    <w:rsid w:val="00981565"/>
    <w:rsid w:val="00983ED6"/>
    <w:rsid w:val="009927C1"/>
    <w:rsid w:val="009A0251"/>
    <w:rsid w:val="009C016F"/>
    <w:rsid w:val="00A046DD"/>
    <w:rsid w:val="00A17016"/>
    <w:rsid w:val="00A36302"/>
    <w:rsid w:val="00A5220A"/>
    <w:rsid w:val="00A75756"/>
    <w:rsid w:val="00A76912"/>
    <w:rsid w:val="00A86982"/>
    <w:rsid w:val="00AB53DA"/>
    <w:rsid w:val="00AD2CC6"/>
    <w:rsid w:val="00AD70F1"/>
    <w:rsid w:val="00B05C9C"/>
    <w:rsid w:val="00B817A8"/>
    <w:rsid w:val="00B82FF1"/>
    <w:rsid w:val="00B8343E"/>
    <w:rsid w:val="00B85FE1"/>
    <w:rsid w:val="00BB0BD9"/>
    <w:rsid w:val="00BD42EE"/>
    <w:rsid w:val="00BE0938"/>
    <w:rsid w:val="00BF284A"/>
    <w:rsid w:val="00C25211"/>
    <w:rsid w:val="00C40037"/>
    <w:rsid w:val="00C400BB"/>
    <w:rsid w:val="00C466F5"/>
    <w:rsid w:val="00C72024"/>
    <w:rsid w:val="00CA61D2"/>
    <w:rsid w:val="00CB4773"/>
    <w:rsid w:val="00CB6F47"/>
    <w:rsid w:val="00CC5C23"/>
    <w:rsid w:val="00CF2B93"/>
    <w:rsid w:val="00D04548"/>
    <w:rsid w:val="00D06885"/>
    <w:rsid w:val="00D16442"/>
    <w:rsid w:val="00D2187B"/>
    <w:rsid w:val="00D75F36"/>
    <w:rsid w:val="00DA48C2"/>
    <w:rsid w:val="00DD61BF"/>
    <w:rsid w:val="00DF44E5"/>
    <w:rsid w:val="00E04106"/>
    <w:rsid w:val="00E12880"/>
    <w:rsid w:val="00E12F3C"/>
    <w:rsid w:val="00E16461"/>
    <w:rsid w:val="00E36634"/>
    <w:rsid w:val="00E5125C"/>
    <w:rsid w:val="00E550EC"/>
    <w:rsid w:val="00E62CD4"/>
    <w:rsid w:val="00E77710"/>
    <w:rsid w:val="00E81B28"/>
    <w:rsid w:val="00E86BE4"/>
    <w:rsid w:val="00EE6737"/>
    <w:rsid w:val="00F01A3C"/>
    <w:rsid w:val="00F0448E"/>
    <w:rsid w:val="00F31846"/>
    <w:rsid w:val="00F515B9"/>
    <w:rsid w:val="00F51B65"/>
    <w:rsid w:val="00F60D37"/>
    <w:rsid w:val="00F677C4"/>
    <w:rsid w:val="00F810FA"/>
    <w:rsid w:val="00FC4A9B"/>
    <w:rsid w:val="00FC52CA"/>
    <w:rsid w:val="00FF67E1"/>
    <w:rsid w:val="028A6664"/>
    <w:rsid w:val="07CC26E4"/>
    <w:rsid w:val="0D0B47CC"/>
    <w:rsid w:val="12311344"/>
    <w:rsid w:val="17223C4E"/>
    <w:rsid w:val="1736706E"/>
    <w:rsid w:val="21D920F5"/>
    <w:rsid w:val="238E19D2"/>
    <w:rsid w:val="27A47A7D"/>
    <w:rsid w:val="29CB14E7"/>
    <w:rsid w:val="29FA22FE"/>
    <w:rsid w:val="2A1829A1"/>
    <w:rsid w:val="2A9C760F"/>
    <w:rsid w:val="31A8532C"/>
    <w:rsid w:val="31B9013A"/>
    <w:rsid w:val="335C7B04"/>
    <w:rsid w:val="34487EE6"/>
    <w:rsid w:val="35DC674D"/>
    <w:rsid w:val="37DD396E"/>
    <w:rsid w:val="389B2DD7"/>
    <w:rsid w:val="398F6212"/>
    <w:rsid w:val="3A2249AD"/>
    <w:rsid w:val="41605820"/>
    <w:rsid w:val="426D0512"/>
    <w:rsid w:val="426E3B74"/>
    <w:rsid w:val="492562A7"/>
    <w:rsid w:val="4A7D6988"/>
    <w:rsid w:val="4C033720"/>
    <w:rsid w:val="4F8B319F"/>
    <w:rsid w:val="50B94EF2"/>
    <w:rsid w:val="53C05AC6"/>
    <w:rsid w:val="5652781A"/>
    <w:rsid w:val="58542EDA"/>
    <w:rsid w:val="58BC765B"/>
    <w:rsid w:val="594128B1"/>
    <w:rsid w:val="5C453822"/>
    <w:rsid w:val="5C480139"/>
    <w:rsid w:val="60BF5532"/>
    <w:rsid w:val="61722C3A"/>
    <w:rsid w:val="63E46A8B"/>
    <w:rsid w:val="64B76CA8"/>
    <w:rsid w:val="64E208E6"/>
    <w:rsid w:val="67163FE1"/>
    <w:rsid w:val="693F039E"/>
    <w:rsid w:val="72C9023A"/>
    <w:rsid w:val="763F0068"/>
    <w:rsid w:val="7689584A"/>
    <w:rsid w:val="77652831"/>
    <w:rsid w:val="77D9608B"/>
    <w:rsid w:val="7CC56211"/>
    <w:rsid w:val="7E6A0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locked/>
    <w:uiPriority w:val="0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eastAsia="方正仿宋简体"/>
      <w:sz w:val="32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1295</Words>
  <Characters>7383</Characters>
  <Lines>61</Lines>
  <Paragraphs>17</Paragraphs>
  <ScaleCrop>false</ScaleCrop>
  <LinksUpToDate>false</LinksUpToDate>
  <CharactersWithSpaces>8661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2020-02-28T07:57:00Z</dcterms:created>
  <dc:creator>Administrator</dc:creator>
  <cp:lastModifiedBy>黄标</cp:lastModifiedBy>
  <cp:lastPrinted>2020-03-16T11:13:00Z</cp:lastPrinted>
  <dcterms:modified xsi:type="dcterms:W3CDTF">2020-03-19T02:02:36Z</dcterms:modified>
  <dc:title>源府〔2019〕33号  　                    签发人：王 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