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djustRightInd/>
        <w:snapToGrid/>
        <w:spacing w:line="600" w:lineRule="exact"/>
        <w:ind w:left="0" w:leftChars="0" w:firstLine="0" w:firstLine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《乡村创客社区要素建设指南》</w:t>
      </w:r>
    </w:p>
    <w:p>
      <w:pPr>
        <w:widowControl w:val="0"/>
        <w:wordWrap/>
        <w:autoSpaceDE w:val="0"/>
        <w:adjustRightInd/>
        <w:snapToGrid/>
        <w:spacing w:line="600" w:lineRule="exact"/>
        <w:ind w:left="0" w:leftChars="0" w:firstLine="0" w:firstLine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编制说明</w:t>
      </w:r>
    </w:p>
    <w:p>
      <w:pPr>
        <w:widowControl w:val="0"/>
        <w:wordWrap/>
        <w:autoSpaceDE w:val="0"/>
        <w:adjustRightInd/>
        <w:snapToGrid/>
        <w:spacing w:line="600" w:lineRule="exact"/>
        <w:ind w:left="0" w:leftChars="0" w:firstLine="0" w:firstLineChars="0"/>
        <w:jc w:val="center"/>
        <w:textAlignment w:val="auto"/>
        <w:rPr>
          <w:rFonts w:hint="eastAsia" w:ascii="方正小标宋简体" w:eastAsia="方正小标宋简体"/>
          <w:sz w:val="44"/>
          <w:szCs w:val="44"/>
          <w:lang w:eastAsia="zh-CN"/>
        </w:rPr>
      </w:pPr>
    </w:p>
    <w:p>
      <w:pPr>
        <w:pStyle w:val="2"/>
        <w:rPr>
          <w:rFonts w:hint="eastAsia"/>
          <w:b w:val="0"/>
          <w:bCs/>
          <w:highlight w:val="none"/>
          <w:lang w:val="en-US" w:eastAsia="zh-CN"/>
        </w:rPr>
      </w:pPr>
      <w:bookmarkStart w:id="0" w:name="_Toc32590"/>
      <w:r>
        <w:rPr>
          <w:rFonts w:hint="eastAsia"/>
          <w:b w:val="0"/>
          <w:bCs/>
          <w:highlight w:val="none"/>
          <w:lang w:val="en-US" w:eastAsia="zh-CN"/>
        </w:rPr>
        <w:t>一、项目背景</w:t>
      </w:r>
      <w:bookmarkEnd w:id="0"/>
    </w:p>
    <w:p>
      <w:pPr>
        <w:pStyle w:val="3"/>
        <w:rPr>
          <w:rFonts w:hint="default"/>
          <w:b w:val="0"/>
          <w:bCs/>
          <w:highlight w:val="none"/>
          <w:lang w:val="en-US" w:eastAsia="zh-CN"/>
        </w:rPr>
      </w:pPr>
      <w:r>
        <w:rPr>
          <w:rFonts w:hint="eastAsia"/>
          <w:b w:val="0"/>
          <w:bCs/>
          <w:highlight w:val="none"/>
          <w:lang w:val="en-US" w:eastAsia="zh-CN"/>
        </w:rPr>
        <w:t>（一）制定标准的必要性和意义</w:t>
      </w:r>
    </w:p>
    <w:p>
      <w:pPr>
        <w:rPr>
          <w:rFonts w:hint="eastAsia" w:hAnsi="Times New Roman" w:cs="Times New Roman"/>
          <w:b w:val="0"/>
          <w:bCs w:val="0"/>
          <w:highlight w:val="none"/>
          <w:lang w:val="en-US" w:eastAsia="zh-CN"/>
        </w:rPr>
      </w:pPr>
      <w:r>
        <w:rPr>
          <w:rFonts w:hint="eastAsia" w:ascii="仿宋_GB2312" w:hAnsi="Times New Roman" w:eastAsia="仿宋_GB2312" w:cs="Times New Roman"/>
          <w:b w:val="0"/>
          <w:bCs w:val="0"/>
          <w:highlight w:val="none"/>
          <w:lang w:val="en-US" w:eastAsia="zh-CN"/>
        </w:rPr>
        <w:t>1.</w:t>
      </w:r>
      <w:r>
        <w:rPr>
          <w:rFonts w:hint="eastAsia" w:hAnsi="Times New Roman" w:cs="Times New Roman"/>
          <w:b w:val="0"/>
          <w:bCs w:val="0"/>
          <w:highlight w:val="none"/>
          <w:lang w:val="en-US" w:eastAsia="zh-CN"/>
        </w:rPr>
        <w:t>必要性</w:t>
      </w:r>
    </w:p>
    <w:p>
      <w:pPr>
        <w:rPr>
          <w:rFonts w:hint="eastAsia" w:ascii="仿宋_GB2312" w:hAnsi="Times New Roman" w:eastAsia="仿宋_GB2312" w:cs="Times New Roman"/>
          <w:b w:val="0"/>
          <w:bCs w:val="0"/>
          <w:highlight w:val="none"/>
          <w:lang w:val="en-US" w:eastAsia="zh-CN"/>
        </w:rPr>
      </w:pPr>
      <w:r>
        <w:rPr>
          <w:rFonts w:hint="eastAsia" w:hAnsi="Times New Roman" w:cs="Times New Roman"/>
          <w:b w:val="0"/>
          <w:bCs w:val="0"/>
          <w:highlight w:val="none"/>
          <w:lang w:val="en-US" w:eastAsia="zh-CN"/>
        </w:rPr>
        <w:t>（1）</w:t>
      </w:r>
      <w:r>
        <w:rPr>
          <w:rFonts w:hint="eastAsia" w:ascii="仿宋_GB2312" w:hAnsi="Times New Roman" w:eastAsia="仿宋_GB2312" w:cs="Times New Roman"/>
          <w:b w:val="0"/>
          <w:bCs w:val="0"/>
          <w:highlight w:val="none"/>
          <w:lang w:val="en-US" w:eastAsia="zh-CN"/>
        </w:rPr>
        <w:t>政策依据</w:t>
      </w:r>
    </w:p>
    <w:p>
      <w:pPr>
        <w:rPr>
          <w:rFonts w:hint="eastAsia" w:ascii="仿宋_GB2312" w:hAnsi="Times New Roman" w:eastAsia="仿宋_GB2312" w:cs="Times New Roman"/>
          <w:highlight w:val="none"/>
          <w:lang w:val="en-US" w:eastAsia="zh-CN"/>
        </w:rPr>
      </w:pPr>
      <w:r>
        <w:rPr>
          <w:rFonts w:hint="eastAsia" w:ascii="仿宋_GB2312" w:hAnsi="Times New Roman" w:eastAsia="仿宋_GB2312" w:cs="Times New Roman"/>
          <w:highlight w:val="none"/>
          <w:lang w:val="en-US" w:eastAsia="zh-CN"/>
        </w:rPr>
        <w:t>党的二十大报告明确指出：“全面建设社会主义现代化国家，最艰巨最繁重的任务仍然在农村。”实施乡村振兴战略是促进乡村可持续发展的重要举措。近年来，国家高度重视“大众创业、万众创新”（简称“双创”）工作，将其作为推动经济社会发展的新引擎。2018年，国务院发布《关于推动创新创业高质量发展打造“双创”升级版的意见》，进一步明确了创新创业在乡村振兴中的重要作用。2022年，国家税务总局更新发布《“大众创业</w:t>
      </w:r>
      <w:r>
        <w:rPr>
          <w:rFonts w:hint="eastAsia" w:hAnsi="Times New Roman" w:cs="Times New Roman"/>
          <w:highlight w:val="none"/>
          <w:lang w:val="en-US" w:eastAsia="zh-CN"/>
        </w:rPr>
        <w:t xml:space="preserve"> </w:t>
      </w:r>
      <w:bookmarkStart w:id="11" w:name="_GoBack"/>
      <w:bookmarkEnd w:id="11"/>
      <w:r>
        <w:rPr>
          <w:rFonts w:hint="eastAsia" w:ascii="仿宋_GB2312" w:hAnsi="Times New Roman" w:eastAsia="仿宋_GB2312" w:cs="Times New Roman"/>
          <w:highlight w:val="none"/>
          <w:lang w:val="en-US" w:eastAsia="zh-CN"/>
        </w:rPr>
        <w:t>万众创新”税费优惠政策指引》，为创新创业提供了全生命周期的政策支持。在这一政策背景下，乡村创客社区作为“双创”理念在乡村领域的延伸，已成为推动乡村振兴的重要抓手。</w:t>
      </w:r>
    </w:p>
    <w:p>
      <w:pPr>
        <w:rPr>
          <w:rFonts w:hint="eastAsia" w:ascii="仿宋_GB2312" w:hAnsi="Times New Roman" w:eastAsia="仿宋_GB2312" w:cs="Times New Roman"/>
          <w:highlight w:val="none"/>
          <w:lang w:val="en-US" w:eastAsia="zh-CN"/>
        </w:rPr>
      </w:pPr>
      <w:r>
        <w:rPr>
          <w:rFonts w:hint="eastAsia" w:ascii="仿宋_GB2312" w:hAnsi="Times New Roman" w:eastAsia="仿宋_GB2312" w:cs="Times New Roman"/>
          <w:highlight w:val="none"/>
          <w:lang w:val="en-US" w:eastAsia="zh-CN"/>
        </w:rPr>
        <w:t>广东省作为我国改革开放的排头兵和先行区，在乡村振兴和共同富裕的实践中具有重要地位。中央多次强调，广东应继续发挥敢闯敢试的改革精神，为全国提供示范。因此，制定</w:t>
      </w:r>
      <w:r>
        <w:rPr>
          <w:rFonts w:hint="eastAsia" w:hAnsi="Times New Roman" w:cs="Times New Roman"/>
          <w:highlight w:val="none"/>
          <w:lang w:val="en-US" w:eastAsia="zh-CN"/>
        </w:rPr>
        <w:t>《乡村创客社区要素建设指南》</w:t>
      </w:r>
      <w:r>
        <w:rPr>
          <w:rFonts w:hint="eastAsia" w:ascii="仿宋_GB2312" w:hAnsi="Times New Roman" w:eastAsia="仿宋_GB2312" w:cs="Times New Roman"/>
          <w:highlight w:val="none"/>
          <w:lang w:val="en-US" w:eastAsia="zh-CN"/>
        </w:rPr>
        <w:t>标准，不仅是对国家政策的积极响应，也是广东省在乡村创客社区建设与服务领域走在前列的必然要求。</w:t>
      </w:r>
    </w:p>
    <w:p>
      <w:pPr>
        <w:rPr>
          <w:rFonts w:hint="eastAsia" w:ascii="仿宋_GB2312" w:hAnsi="Times New Roman" w:eastAsia="仿宋_GB2312" w:cs="Times New Roman"/>
          <w:b w:val="0"/>
          <w:bCs w:val="0"/>
          <w:highlight w:val="none"/>
          <w:lang w:val="en-US" w:eastAsia="zh-CN"/>
        </w:rPr>
      </w:pPr>
      <w:r>
        <w:rPr>
          <w:rFonts w:hint="eastAsia" w:hAnsi="Times New Roman" w:cs="Times New Roman"/>
          <w:b w:val="0"/>
          <w:bCs w:val="0"/>
          <w:highlight w:val="none"/>
          <w:lang w:val="en-US" w:eastAsia="zh-CN"/>
        </w:rPr>
        <w:t>（2）</w:t>
      </w:r>
      <w:r>
        <w:rPr>
          <w:rFonts w:hint="eastAsia" w:ascii="仿宋_GB2312" w:hAnsi="Times New Roman" w:eastAsia="仿宋_GB2312" w:cs="Times New Roman"/>
          <w:b w:val="0"/>
          <w:bCs w:val="0"/>
          <w:highlight w:val="none"/>
          <w:lang w:val="en-US" w:eastAsia="zh-CN"/>
        </w:rPr>
        <w:t>需求分析</w:t>
      </w:r>
    </w:p>
    <w:p>
      <w:pPr>
        <w:rPr>
          <w:rFonts w:hint="eastAsia" w:ascii="仿宋_GB2312" w:hAnsi="Times New Roman" w:eastAsia="仿宋_GB2312" w:cs="Times New Roman"/>
          <w:highlight w:val="none"/>
          <w:lang w:val="en-US" w:eastAsia="zh-CN"/>
        </w:rPr>
      </w:pPr>
      <w:r>
        <w:rPr>
          <w:rFonts w:hint="eastAsia" w:ascii="仿宋_GB2312" w:hAnsi="Times New Roman" w:eastAsia="仿宋_GB2312" w:cs="Times New Roman"/>
          <w:highlight w:val="none"/>
          <w:lang w:val="en-US" w:eastAsia="zh-CN"/>
        </w:rPr>
        <w:t>当前，乡村创客社区建设面临以下现实需求：</w:t>
      </w:r>
    </w:p>
    <w:p>
      <w:pPr>
        <w:rPr>
          <w:rFonts w:hint="eastAsia" w:ascii="仿宋_GB2312" w:hAnsi="Times New Roman" w:eastAsia="仿宋_GB2312" w:cs="Times New Roman"/>
          <w:highlight w:val="none"/>
          <w:lang w:val="en-US" w:eastAsia="zh-CN"/>
        </w:rPr>
      </w:pPr>
      <w:r>
        <w:rPr>
          <w:rFonts w:hint="eastAsia" w:hAnsi="Times New Roman" w:cs="Times New Roman"/>
          <w:b/>
          <w:bCs/>
          <w:highlight w:val="none"/>
          <w:lang w:val="en-US" w:eastAsia="zh-CN"/>
        </w:rPr>
        <w:t>一是</w:t>
      </w:r>
      <w:r>
        <w:rPr>
          <w:rFonts w:hint="eastAsia" w:ascii="仿宋_GB2312" w:hAnsi="Times New Roman" w:eastAsia="仿宋_GB2312" w:cs="Times New Roman"/>
          <w:b/>
          <w:bCs/>
          <w:highlight w:val="none"/>
          <w:lang w:val="en-US" w:eastAsia="zh-CN"/>
        </w:rPr>
        <w:t>标准空白</w:t>
      </w:r>
      <w:r>
        <w:rPr>
          <w:rFonts w:hint="eastAsia" w:hAnsi="Times New Roman" w:cs="Times New Roman"/>
          <w:b/>
          <w:bCs/>
          <w:highlight w:val="none"/>
          <w:lang w:val="en-US" w:eastAsia="zh-CN"/>
        </w:rPr>
        <w:t>。</w:t>
      </w:r>
      <w:r>
        <w:rPr>
          <w:rFonts w:hint="eastAsia" w:ascii="仿宋_GB2312" w:hAnsi="Times New Roman" w:eastAsia="仿宋_GB2312" w:cs="Times New Roman"/>
          <w:highlight w:val="none"/>
          <w:lang w:val="en-US" w:eastAsia="zh-CN"/>
        </w:rPr>
        <w:t>尽管“创客社区”概念已在国内逐步推广，但针对乡村创客社区的建设与服务，尚未形成统一的规范和标准。各地在实践中缺乏明确的指导依据，导致建设方向不一致、资源投入不均衡、服务效果难以评估。</w:t>
      </w:r>
    </w:p>
    <w:p>
      <w:pPr>
        <w:rPr>
          <w:rFonts w:hint="eastAsia" w:ascii="仿宋_GB2312" w:hAnsi="Times New Roman" w:eastAsia="仿宋_GB2312" w:cs="Times New Roman"/>
          <w:highlight w:val="none"/>
          <w:lang w:val="en-US" w:eastAsia="zh-CN"/>
        </w:rPr>
      </w:pPr>
      <w:r>
        <w:rPr>
          <w:rFonts w:hint="eastAsia" w:hAnsi="Times New Roman" w:cs="Times New Roman"/>
          <w:b/>
          <w:bCs/>
          <w:highlight w:val="none"/>
          <w:lang w:val="en-US" w:eastAsia="zh-CN"/>
        </w:rPr>
        <w:t>二是</w:t>
      </w:r>
      <w:r>
        <w:rPr>
          <w:rFonts w:hint="eastAsia" w:ascii="仿宋_GB2312" w:hAnsi="Times New Roman" w:eastAsia="仿宋_GB2312" w:cs="Times New Roman"/>
          <w:b/>
          <w:bCs/>
          <w:highlight w:val="none"/>
          <w:lang w:val="en-US" w:eastAsia="zh-CN"/>
        </w:rPr>
        <w:t>缺乏指引</w:t>
      </w:r>
      <w:r>
        <w:rPr>
          <w:rFonts w:hint="eastAsia" w:hAnsi="Times New Roman" w:cs="Times New Roman"/>
          <w:b/>
          <w:bCs/>
          <w:highlight w:val="none"/>
          <w:lang w:val="en-US" w:eastAsia="zh-CN"/>
        </w:rPr>
        <w:t>。</w:t>
      </w:r>
      <w:r>
        <w:rPr>
          <w:rFonts w:hint="eastAsia" w:ascii="仿宋_GB2312" w:hAnsi="Times New Roman" w:eastAsia="仿宋_GB2312" w:cs="Times New Roman"/>
          <w:highlight w:val="none"/>
          <w:lang w:val="en-US" w:eastAsia="zh-CN"/>
        </w:rPr>
        <w:t>乡村创客社区的建设涉及规划、运营、服务等多个环节，缺乏具体的操作性规范。这使得地方在推进乡村创客社区建设时，难以形成标准化、可复制的模式。</w:t>
      </w:r>
    </w:p>
    <w:p>
      <w:pPr>
        <w:rPr>
          <w:rFonts w:hint="eastAsia" w:ascii="仿宋_GB2312" w:hAnsi="Times New Roman" w:eastAsia="仿宋_GB2312" w:cs="Times New Roman"/>
          <w:highlight w:val="none"/>
          <w:lang w:val="en-US" w:eastAsia="zh-CN"/>
        </w:rPr>
      </w:pPr>
      <w:r>
        <w:rPr>
          <w:rFonts w:hint="eastAsia" w:hAnsi="Times New Roman" w:cs="Times New Roman"/>
          <w:b/>
          <w:bCs/>
          <w:highlight w:val="none"/>
          <w:lang w:val="en-US" w:eastAsia="zh-CN"/>
        </w:rPr>
        <w:t>三是</w:t>
      </w:r>
      <w:r>
        <w:rPr>
          <w:rFonts w:hint="eastAsia" w:ascii="仿宋_GB2312" w:hAnsi="Times New Roman" w:eastAsia="仿宋_GB2312" w:cs="Times New Roman"/>
          <w:b/>
          <w:bCs/>
          <w:highlight w:val="none"/>
          <w:lang w:val="en-US" w:eastAsia="zh-CN"/>
        </w:rPr>
        <w:t>资源整合需求</w:t>
      </w:r>
      <w:r>
        <w:rPr>
          <w:rFonts w:hint="eastAsia" w:hAnsi="Times New Roman" w:cs="Times New Roman"/>
          <w:b/>
          <w:bCs/>
          <w:highlight w:val="none"/>
          <w:lang w:val="en-US" w:eastAsia="zh-CN"/>
        </w:rPr>
        <w:t>。</w:t>
      </w:r>
      <w:r>
        <w:rPr>
          <w:rFonts w:hint="eastAsia" w:ascii="仿宋_GB2312" w:hAnsi="Times New Roman" w:eastAsia="仿宋_GB2312" w:cs="Times New Roman"/>
          <w:highlight w:val="none"/>
          <w:lang w:val="en-US" w:eastAsia="zh-CN"/>
        </w:rPr>
        <w:t>乡村创客社区需要吸引资金、技术、人才等资源进入乡村，但目前缺乏有效的机制和平台，导致资源分散、效率低下。通过制定标准，可以明确资源整合的路径和方法，提升乡村创客社区的吸引力和竞争力。</w:t>
      </w:r>
    </w:p>
    <w:p>
      <w:pPr>
        <w:rPr>
          <w:rFonts w:hint="eastAsia" w:hAnsi="Times New Roman" w:cs="Times New Roman"/>
          <w:b w:val="0"/>
          <w:bCs w:val="0"/>
          <w:highlight w:val="none"/>
          <w:lang w:val="en-US" w:eastAsia="zh-CN"/>
        </w:rPr>
      </w:pPr>
      <w:r>
        <w:rPr>
          <w:rFonts w:hint="eastAsia" w:hAnsi="Times New Roman" w:cs="Times New Roman"/>
          <w:b w:val="0"/>
          <w:bCs w:val="0"/>
          <w:highlight w:val="none"/>
          <w:lang w:val="en-US" w:eastAsia="zh-CN"/>
        </w:rPr>
        <w:t>（3）效益分析</w:t>
      </w:r>
    </w:p>
    <w:p>
      <w:pPr>
        <w:rPr>
          <w:rFonts w:hint="eastAsia" w:ascii="仿宋_GB2312" w:hAnsi="Times New Roman" w:eastAsia="仿宋_GB2312" w:cs="Times New Roman"/>
          <w:highlight w:val="none"/>
          <w:lang w:val="en-US" w:eastAsia="zh-CN"/>
        </w:rPr>
      </w:pPr>
      <w:r>
        <w:rPr>
          <w:rFonts w:hint="eastAsia" w:ascii="仿宋_GB2312" w:hAnsi="Times New Roman" w:eastAsia="仿宋_GB2312" w:cs="Times New Roman"/>
          <w:b/>
          <w:bCs/>
          <w:highlight w:val="none"/>
          <w:lang w:val="en-US" w:eastAsia="zh-CN"/>
        </w:rPr>
        <w:t>经济效益</w:t>
      </w:r>
      <w:r>
        <w:rPr>
          <w:rFonts w:hint="eastAsia" w:hAnsi="Times New Roman" w:cs="Times New Roman"/>
          <w:b/>
          <w:bCs/>
          <w:highlight w:val="none"/>
          <w:lang w:val="en-US" w:eastAsia="zh-CN"/>
        </w:rPr>
        <w:t>方面，</w:t>
      </w:r>
      <w:r>
        <w:rPr>
          <w:rFonts w:hint="eastAsia" w:ascii="仿宋_GB2312" w:hAnsi="Times New Roman" w:eastAsia="仿宋_GB2312" w:cs="Times New Roman"/>
          <w:highlight w:val="none"/>
          <w:lang w:val="en-US" w:eastAsia="zh-CN"/>
        </w:rPr>
        <w:t>通过</w:t>
      </w:r>
      <w:r>
        <w:rPr>
          <w:rFonts w:hint="eastAsia" w:hAnsi="Times New Roman" w:cs="Times New Roman"/>
          <w:highlight w:val="none"/>
          <w:lang w:val="en-US" w:eastAsia="zh-CN"/>
        </w:rPr>
        <w:t>提供</w:t>
      </w:r>
      <w:r>
        <w:rPr>
          <w:rFonts w:hint="eastAsia" w:ascii="仿宋_GB2312" w:hAnsi="Times New Roman" w:eastAsia="仿宋_GB2312" w:cs="Times New Roman"/>
          <w:highlight w:val="none"/>
          <w:lang w:val="en-US" w:eastAsia="zh-CN"/>
        </w:rPr>
        <w:t>乡村创客社区的建设</w:t>
      </w:r>
      <w:r>
        <w:rPr>
          <w:rFonts w:hint="eastAsia" w:hAnsi="Times New Roman" w:cs="Times New Roman"/>
          <w:highlight w:val="none"/>
          <w:lang w:val="en-US" w:eastAsia="zh-CN"/>
        </w:rPr>
        <w:t>指引</w:t>
      </w:r>
      <w:r>
        <w:rPr>
          <w:rFonts w:hint="eastAsia" w:ascii="仿宋_GB2312" w:hAnsi="Times New Roman" w:eastAsia="仿宋_GB2312" w:cs="Times New Roman"/>
          <w:highlight w:val="none"/>
          <w:lang w:val="en-US" w:eastAsia="zh-CN"/>
        </w:rPr>
        <w:t>，</w:t>
      </w:r>
      <w:r>
        <w:rPr>
          <w:rFonts w:hint="eastAsia" w:hAnsi="Times New Roman" w:cs="Times New Roman"/>
          <w:highlight w:val="none"/>
          <w:lang w:val="en-US" w:eastAsia="zh-CN"/>
        </w:rPr>
        <w:t>推动更多创客社区的创建</w:t>
      </w:r>
      <w:r>
        <w:rPr>
          <w:rFonts w:hint="eastAsia" w:ascii="仿宋_GB2312" w:hAnsi="Times New Roman" w:eastAsia="仿宋_GB2312" w:cs="Times New Roman"/>
          <w:highlight w:val="none"/>
          <w:lang w:val="en-US" w:eastAsia="zh-CN"/>
        </w:rPr>
        <w:t>，</w:t>
      </w:r>
      <w:r>
        <w:rPr>
          <w:rFonts w:hint="eastAsia" w:hAnsi="Times New Roman" w:cs="Times New Roman"/>
          <w:highlight w:val="none"/>
          <w:lang w:val="en-US" w:eastAsia="zh-CN"/>
        </w:rPr>
        <w:t>促进</w:t>
      </w:r>
      <w:r>
        <w:rPr>
          <w:rFonts w:hint="eastAsia" w:ascii="仿宋_GB2312" w:hAnsi="Times New Roman" w:eastAsia="仿宋_GB2312" w:cs="Times New Roman"/>
          <w:highlight w:val="none"/>
          <w:lang w:val="en-US" w:eastAsia="zh-CN"/>
        </w:rPr>
        <w:t>乡村特色经济发展，激活乡村资源，为乡村振兴注入新动能。</w:t>
      </w:r>
    </w:p>
    <w:p>
      <w:pPr>
        <w:rPr>
          <w:rFonts w:hint="eastAsia" w:ascii="仿宋_GB2312" w:hAnsi="Times New Roman" w:eastAsia="仿宋_GB2312" w:cs="Times New Roman"/>
          <w:highlight w:val="none"/>
          <w:lang w:val="en-US" w:eastAsia="zh-CN"/>
        </w:rPr>
      </w:pPr>
      <w:r>
        <w:rPr>
          <w:rFonts w:hint="eastAsia" w:ascii="仿宋_GB2312" w:hAnsi="Times New Roman" w:eastAsia="仿宋_GB2312" w:cs="Times New Roman"/>
          <w:b/>
          <w:bCs/>
          <w:highlight w:val="none"/>
          <w:lang w:val="en-US" w:eastAsia="zh-CN"/>
        </w:rPr>
        <w:t>社会效益</w:t>
      </w:r>
      <w:r>
        <w:rPr>
          <w:rFonts w:hint="eastAsia" w:hAnsi="Times New Roman" w:cs="Times New Roman"/>
          <w:b/>
          <w:bCs/>
          <w:highlight w:val="none"/>
          <w:lang w:val="en-US" w:eastAsia="zh-CN"/>
        </w:rPr>
        <w:t>方面，</w:t>
      </w:r>
      <w:r>
        <w:rPr>
          <w:rFonts w:hint="eastAsia" w:hAnsi="Times New Roman" w:cs="Times New Roman"/>
          <w:b w:val="0"/>
          <w:bCs w:val="0"/>
          <w:highlight w:val="none"/>
          <w:lang w:val="en-US" w:eastAsia="zh-CN"/>
        </w:rPr>
        <w:t>通过标准支撑乡村创客社区的规范化建设，进一步发挥</w:t>
      </w:r>
      <w:r>
        <w:rPr>
          <w:rFonts w:hint="eastAsia" w:ascii="仿宋_GB2312" w:hAnsi="Times New Roman" w:eastAsia="仿宋_GB2312" w:cs="Times New Roman"/>
          <w:highlight w:val="none"/>
          <w:lang w:val="en-US" w:eastAsia="zh-CN"/>
        </w:rPr>
        <w:t>乡村创客社区</w:t>
      </w:r>
      <w:r>
        <w:rPr>
          <w:rFonts w:hint="eastAsia" w:hAnsi="Times New Roman" w:cs="Times New Roman"/>
          <w:highlight w:val="none"/>
          <w:lang w:val="en-US" w:eastAsia="zh-CN"/>
        </w:rPr>
        <w:t>的人才集聚作用，促进</w:t>
      </w:r>
      <w:r>
        <w:rPr>
          <w:rFonts w:hint="eastAsia" w:ascii="仿宋_GB2312" w:hAnsi="Times New Roman" w:eastAsia="仿宋_GB2312" w:cs="Times New Roman"/>
          <w:highlight w:val="none"/>
          <w:lang w:val="en-US" w:eastAsia="zh-CN"/>
        </w:rPr>
        <w:t>青年返乡创业，缓解了农村人口流失和老龄化问题，促进了城乡融合发展，增强了农村社会的凝聚力和稳定性。</w:t>
      </w:r>
    </w:p>
    <w:p>
      <w:pPr>
        <w:rPr>
          <w:rFonts w:hint="eastAsia" w:ascii="仿宋_GB2312" w:hAnsi="Times New Roman" w:eastAsia="仿宋_GB2312" w:cs="Times New Roman"/>
          <w:highlight w:val="none"/>
          <w:lang w:val="en-US" w:eastAsia="zh-CN"/>
        </w:rPr>
      </w:pPr>
      <w:r>
        <w:rPr>
          <w:rFonts w:hint="eastAsia" w:ascii="仿宋_GB2312" w:hAnsi="Times New Roman" w:eastAsia="仿宋_GB2312" w:cs="Times New Roman"/>
          <w:b/>
          <w:bCs/>
          <w:highlight w:val="none"/>
          <w:lang w:val="en-US" w:eastAsia="zh-CN"/>
        </w:rPr>
        <w:t>生态效益</w:t>
      </w:r>
      <w:r>
        <w:rPr>
          <w:rFonts w:hint="eastAsia" w:hAnsi="Times New Roman" w:cs="Times New Roman"/>
          <w:b/>
          <w:bCs/>
          <w:highlight w:val="none"/>
          <w:lang w:val="en-US" w:eastAsia="zh-CN"/>
        </w:rPr>
        <w:t>方面</w:t>
      </w:r>
      <w:r>
        <w:rPr>
          <w:rFonts w:hint="eastAsia" w:ascii="仿宋_GB2312" w:hAnsi="Times New Roman" w:eastAsia="仿宋_GB2312" w:cs="Times New Roman"/>
          <w:b/>
          <w:bCs/>
          <w:highlight w:val="none"/>
          <w:lang w:val="en-US" w:eastAsia="zh-CN"/>
        </w:rPr>
        <w:t>：</w:t>
      </w:r>
      <w:r>
        <w:rPr>
          <w:rFonts w:hint="eastAsia" w:ascii="仿宋_GB2312" w:hAnsi="Times New Roman" w:eastAsia="仿宋_GB2312" w:cs="Times New Roman"/>
          <w:highlight w:val="none"/>
          <w:lang w:val="en-US" w:eastAsia="zh-CN"/>
        </w:rPr>
        <w:t>乡村创客社区</w:t>
      </w:r>
      <w:r>
        <w:rPr>
          <w:rFonts w:hint="eastAsia" w:hAnsi="Times New Roman" w:cs="Times New Roman"/>
          <w:highlight w:val="none"/>
          <w:lang w:val="en-US" w:eastAsia="zh-CN"/>
        </w:rPr>
        <w:t>为社区环境建设提供了指引</w:t>
      </w:r>
      <w:r>
        <w:rPr>
          <w:rFonts w:hint="eastAsia" w:ascii="仿宋_GB2312" w:hAnsi="Times New Roman" w:eastAsia="仿宋_GB2312" w:cs="Times New Roman"/>
          <w:highlight w:val="none"/>
          <w:lang w:val="en-US" w:eastAsia="zh-CN"/>
        </w:rPr>
        <w:t>，实现经济发展与环境保护的良性互动，为乡村生态振兴提供支撑。</w:t>
      </w:r>
    </w:p>
    <w:p>
      <w:pPr>
        <w:rPr>
          <w:rFonts w:hint="eastAsia" w:hAnsi="Times New Roman" w:cs="Times New Roman"/>
          <w:b w:val="0"/>
          <w:bCs w:val="0"/>
          <w:highlight w:val="none"/>
          <w:lang w:val="en-US" w:eastAsia="zh-CN"/>
        </w:rPr>
      </w:pPr>
      <w:r>
        <w:rPr>
          <w:rFonts w:hint="eastAsia" w:hAnsi="Times New Roman" w:cs="Times New Roman"/>
          <w:b w:val="0"/>
          <w:bCs w:val="0"/>
          <w:highlight w:val="none"/>
          <w:lang w:val="en-US" w:eastAsia="zh-CN"/>
        </w:rPr>
        <w:t>2.标准的意义</w:t>
      </w:r>
    </w:p>
    <w:p>
      <w:pPr>
        <w:rPr>
          <w:rFonts w:hint="eastAsia" w:ascii="仿宋_GB2312" w:hAnsi="Times New Roman" w:eastAsia="仿宋_GB2312" w:cs="Times New Roman"/>
          <w:highlight w:val="none"/>
          <w:lang w:val="en-US" w:eastAsia="zh-CN"/>
        </w:rPr>
      </w:pPr>
      <w:r>
        <w:rPr>
          <w:rFonts w:hint="eastAsia" w:hAnsi="Times New Roman" w:cs="Times New Roman"/>
          <w:b/>
          <w:bCs/>
          <w:highlight w:val="none"/>
          <w:lang w:val="en-US" w:eastAsia="zh-CN"/>
        </w:rPr>
        <w:t>一是</w:t>
      </w:r>
      <w:r>
        <w:rPr>
          <w:rFonts w:hint="eastAsia" w:ascii="仿宋_GB2312" w:hAnsi="Times New Roman" w:eastAsia="仿宋_GB2312" w:cs="Times New Roman"/>
          <w:b/>
          <w:bCs/>
          <w:highlight w:val="none"/>
          <w:lang w:val="en-US" w:eastAsia="zh-CN"/>
        </w:rPr>
        <w:t>激发创新活力，培育创业生态</w:t>
      </w:r>
      <w:r>
        <w:rPr>
          <w:rFonts w:hint="eastAsia" w:hAnsi="Times New Roman" w:cs="Times New Roman"/>
          <w:b/>
          <w:bCs/>
          <w:highlight w:val="none"/>
          <w:lang w:val="en-US" w:eastAsia="zh-CN"/>
        </w:rPr>
        <w:t>。</w:t>
      </w:r>
      <w:r>
        <w:rPr>
          <w:rFonts w:hint="eastAsia" w:hAnsi="Times New Roman" w:cs="Times New Roman"/>
          <w:b w:val="0"/>
          <w:bCs w:val="0"/>
          <w:highlight w:val="none"/>
          <w:lang w:val="en-US" w:eastAsia="zh-CN"/>
        </w:rPr>
        <w:t>制定《乡村创客社区建设指南》标准，能够规范创客社区的创新环境，确保资源的合理配置和高效利用。</w:t>
      </w:r>
      <w:r>
        <w:rPr>
          <w:rFonts w:hint="eastAsia" w:ascii="仿宋_GB2312" w:hAnsi="Times New Roman" w:eastAsia="仿宋_GB2312" w:cs="Times New Roman"/>
          <w:highlight w:val="none"/>
          <w:lang w:val="en-US" w:eastAsia="zh-CN"/>
        </w:rPr>
        <w:t>乡村创客社区通过吸引城市创客和企业下乡，推动城乡之间的人才、技术、资金等要素自由流动，实现资源的优化配置。同时，社区的建设与运营为乡村居民提供了现代化的服务和生活方式，缩小了城乡差距，为城乡融合发展提供了实践样本。</w:t>
      </w:r>
    </w:p>
    <w:p>
      <w:pPr>
        <w:rPr>
          <w:rFonts w:hint="eastAsia" w:ascii="仿宋_GB2312" w:hAnsi="Times New Roman" w:eastAsia="仿宋_GB2312" w:cs="Times New Roman"/>
          <w:highlight w:val="none"/>
          <w:lang w:val="en-US" w:eastAsia="zh-CN"/>
        </w:rPr>
      </w:pPr>
      <w:r>
        <w:rPr>
          <w:rFonts w:hint="eastAsia" w:hAnsi="Times New Roman" w:cs="Times New Roman"/>
          <w:b/>
          <w:bCs/>
          <w:highlight w:val="none"/>
          <w:lang w:val="en-US" w:eastAsia="zh-CN"/>
        </w:rPr>
        <w:t>二是</w:t>
      </w:r>
      <w:r>
        <w:rPr>
          <w:rFonts w:hint="eastAsia" w:ascii="仿宋_GB2312" w:hAnsi="Times New Roman" w:eastAsia="仿宋_GB2312" w:cs="Times New Roman"/>
          <w:b/>
          <w:bCs/>
          <w:highlight w:val="none"/>
          <w:lang w:val="en-US" w:eastAsia="zh-CN"/>
        </w:rPr>
        <w:t>推动协同创新，</w:t>
      </w:r>
      <w:r>
        <w:rPr>
          <w:rFonts w:hint="eastAsia" w:hAnsi="Times New Roman" w:cs="Times New Roman"/>
          <w:b/>
          <w:bCs/>
          <w:highlight w:val="none"/>
          <w:lang w:val="en-US" w:eastAsia="zh-CN"/>
        </w:rPr>
        <w:t>优化双创环境。</w:t>
      </w:r>
      <w:r>
        <w:rPr>
          <w:rFonts w:hint="eastAsia" w:hAnsi="Times New Roman" w:cs="Times New Roman"/>
          <w:b w:val="0"/>
          <w:bCs w:val="0"/>
          <w:highlight w:val="none"/>
          <w:lang w:val="en-US" w:eastAsia="zh-CN"/>
        </w:rPr>
        <w:t>通过制定标准，可以明确乡村创客社区的资源配置要求，</w:t>
      </w:r>
      <w:r>
        <w:rPr>
          <w:rFonts w:hint="eastAsia" w:ascii="仿宋_GB2312" w:hAnsi="Times New Roman" w:eastAsia="仿宋_GB2312" w:cs="Times New Roman"/>
          <w:highlight w:val="none"/>
          <w:lang w:val="en-US" w:eastAsia="zh-CN"/>
        </w:rPr>
        <w:t>构建开放共享的创新网络。创客社区通过提供共享工作环境和资源，鼓励创客（包括创业者、设计师、艺术家和技术开发者等）进行创新和创业活动</w:t>
      </w:r>
      <w:r>
        <w:rPr>
          <w:rFonts w:hint="eastAsia" w:hAnsi="Times New Roman" w:cs="Times New Roman"/>
          <w:highlight w:val="none"/>
          <w:lang w:val="en-US" w:eastAsia="zh-CN"/>
        </w:rPr>
        <w:t>，推动</w:t>
      </w:r>
      <w:r>
        <w:rPr>
          <w:rFonts w:hint="eastAsia" w:ascii="仿宋_GB2312" w:hAnsi="Times New Roman" w:eastAsia="仿宋_GB2312" w:cs="Times New Roman"/>
          <w:highlight w:val="none"/>
          <w:lang w:val="en-US" w:eastAsia="zh-CN"/>
        </w:rPr>
        <w:t>商业模式</w:t>
      </w:r>
      <w:r>
        <w:rPr>
          <w:rFonts w:hint="eastAsia" w:hAnsi="Times New Roman" w:cs="Times New Roman"/>
          <w:highlight w:val="none"/>
          <w:lang w:val="en-US" w:eastAsia="zh-CN"/>
        </w:rPr>
        <w:t>创新</w:t>
      </w:r>
      <w:r>
        <w:rPr>
          <w:rFonts w:hint="eastAsia" w:ascii="仿宋_GB2312" w:hAnsi="Times New Roman" w:eastAsia="仿宋_GB2312" w:cs="Times New Roman"/>
          <w:highlight w:val="none"/>
          <w:lang w:val="en-US" w:eastAsia="zh-CN"/>
        </w:rPr>
        <w:t>，为社会创新提供动力。</w:t>
      </w:r>
    </w:p>
    <w:p>
      <w:pPr>
        <w:rPr>
          <w:rFonts w:hint="eastAsia" w:ascii="仿宋_GB2312" w:hAnsi="Times New Roman" w:eastAsia="仿宋_GB2312" w:cs="Times New Roman"/>
          <w:highlight w:val="none"/>
          <w:lang w:val="en-US" w:eastAsia="zh-CN"/>
        </w:rPr>
      </w:pPr>
      <w:r>
        <w:rPr>
          <w:rFonts w:hint="eastAsia" w:hAnsi="Times New Roman" w:cs="Times New Roman"/>
          <w:b/>
          <w:bCs/>
          <w:highlight w:val="none"/>
          <w:lang w:val="en-US" w:eastAsia="zh-CN"/>
        </w:rPr>
        <w:t>三是</w:t>
      </w:r>
      <w:r>
        <w:rPr>
          <w:rFonts w:hint="eastAsia" w:ascii="仿宋_GB2312" w:hAnsi="Times New Roman" w:eastAsia="仿宋_GB2312" w:cs="Times New Roman"/>
          <w:b/>
          <w:bCs/>
          <w:highlight w:val="none"/>
          <w:lang w:val="en-US" w:eastAsia="zh-CN"/>
        </w:rPr>
        <w:t>激活地方经济，注入发展新动能</w:t>
      </w:r>
      <w:r>
        <w:rPr>
          <w:rFonts w:hint="eastAsia" w:hAnsi="Times New Roman" w:cs="Times New Roman"/>
          <w:b/>
          <w:bCs/>
          <w:highlight w:val="none"/>
          <w:lang w:val="en-US" w:eastAsia="zh-CN"/>
        </w:rPr>
        <w:t>。</w:t>
      </w:r>
      <w:r>
        <w:rPr>
          <w:rFonts w:hint="eastAsia" w:hAnsi="Times New Roman" w:cs="Times New Roman"/>
          <w:b w:val="0"/>
          <w:bCs w:val="0"/>
          <w:highlight w:val="none"/>
          <w:lang w:val="en-US" w:eastAsia="zh-CN"/>
        </w:rPr>
        <w:t>标准的制定能够为创客社区的建设提供指引，推动更多创客社区的建设，为地方经济发展提供有力支撑。</w:t>
      </w:r>
      <w:r>
        <w:rPr>
          <w:rFonts w:hint="eastAsia" w:ascii="仿宋_GB2312" w:hAnsi="Times New Roman" w:eastAsia="仿宋_GB2312" w:cs="Times New Roman"/>
          <w:highlight w:val="none"/>
          <w:lang w:val="en-US" w:eastAsia="zh-CN"/>
        </w:rPr>
        <w:t>通过创客社区的示范效应，可以吸引更多的投资和资源流入，为地方经济发展注入新的活力，推动区域经济的高质量发展。</w:t>
      </w:r>
    </w:p>
    <w:p>
      <w:pPr>
        <w:rPr>
          <w:rFonts w:hint="eastAsia" w:ascii="楷体_GB2312" w:hAnsi="楷体_GB2312" w:eastAsia="楷体_GB2312" w:cs="楷体_GB2312"/>
          <w:b w:val="0"/>
          <w:bCs/>
          <w:kern w:val="2"/>
          <w:sz w:val="32"/>
          <w:szCs w:val="32"/>
          <w:highlight w:val="none"/>
          <w:lang w:val="en-US" w:eastAsia="zh-CN" w:bidi="ar-SA"/>
        </w:rPr>
      </w:pPr>
      <w:r>
        <w:rPr>
          <w:rFonts w:hint="eastAsia" w:ascii="楷体_GB2312" w:hAnsi="楷体_GB2312" w:eastAsia="楷体_GB2312" w:cs="楷体_GB2312"/>
          <w:b w:val="0"/>
          <w:bCs/>
          <w:kern w:val="2"/>
          <w:sz w:val="32"/>
          <w:szCs w:val="32"/>
          <w:highlight w:val="none"/>
          <w:lang w:val="en-US" w:eastAsia="zh-CN" w:bidi="ar-SA"/>
        </w:rPr>
        <w:t>（二）国内外现行相关法律、法规和标准情况</w:t>
      </w:r>
    </w:p>
    <w:p>
      <w:pPr>
        <w:rPr>
          <w:rFonts w:hint="default" w:hAnsi="Times New Roman" w:cs="Times New Roman"/>
          <w:b w:val="0"/>
          <w:bCs w:val="0"/>
          <w:highlight w:val="none"/>
          <w:lang w:val="en-US" w:eastAsia="zh-CN"/>
        </w:rPr>
      </w:pPr>
      <w:r>
        <w:rPr>
          <w:rFonts w:hint="eastAsia" w:hAnsi="Times New Roman" w:cs="Times New Roman"/>
          <w:b w:val="0"/>
          <w:bCs w:val="0"/>
          <w:highlight w:val="none"/>
          <w:lang w:val="en-US" w:eastAsia="zh-CN"/>
        </w:rPr>
        <w:t>1.现行法律法规情况</w:t>
      </w:r>
    </w:p>
    <w:p>
      <w:pPr>
        <w:pStyle w:val="11"/>
        <w:widowControl/>
        <w:wordWrap/>
        <w:adjustRightInd/>
        <w:snapToGrid/>
        <w:spacing w:beforeAutospacing="0" w:afterAutospacing="0" w:line="240" w:lineRule="auto"/>
        <w:ind w:firstLine="640" w:firstLineChars="200"/>
        <w:jc w:val="both"/>
        <w:textAlignment w:val="auto"/>
        <w:rPr>
          <w:rFonts w:hint="eastAsia" w:ascii="仿宋_GB2312" w:hAnsi="Times New Roman" w:eastAsia="仿宋_GB2312" w:cs="Times New Roman"/>
          <w:b w:val="0"/>
          <w:bCs w:val="0"/>
          <w:kern w:val="2"/>
          <w:sz w:val="32"/>
          <w:szCs w:val="32"/>
          <w:highlight w:val="none"/>
          <w:lang w:val="en-US" w:eastAsia="zh-CN" w:bidi="ar-SA"/>
        </w:rPr>
      </w:pPr>
      <w:r>
        <w:rPr>
          <w:rFonts w:hint="eastAsia" w:ascii="仿宋_GB2312" w:hAnsi="Times New Roman" w:eastAsia="仿宋_GB2312" w:cs="Times New Roman"/>
          <w:b w:val="0"/>
          <w:bCs w:val="0"/>
          <w:kern w:val="2"/>
          <w:sz w:val="32"/>
          <w:szCs w:val="32"/>
          <w:highlight w:val="none"/>
          <w:lang w:val="en-US" w:eastAsia="zh-CN" w:bidi="ar-SA"/>
        </w:rPr>
        <w:t>《中华人民共和国乡村振兴促进法》作为</w:t>
      </w:r>
      <w:r>
        <w:rPr>
          <w:rFonts w:hint="eastAsia" w:hAnsi="Times New Roman" w:cs="Times New Roman"/>
          <w:b w:val="0"/>
          <w:bCs w:val="0"/>
          <w:kern w:val="2"/>
          <w:sz w:val="32"/>
          <w:szCs w:val="32"/>
          <w:highlight w:val="none"/>
          <w:lang w:val="en-US" w:eastAsia="zh-CN" w:bidi="ar-SA"/>
        </w:rPr>
        <w:t>“</w:t>
      </w:r>
      <w:r>
        <w:rPr>
          <w:rFonts w:hint="eastAsia" w:ascii="仿宋_GB2312" w:hAnsi="Times New Roman" w:eastAsia="仿宋_GB2312" w:cs="Times New Roman"/>
          <w:b w:val="0"/>
          <w:bCs w:val="0"/>
          <w:kern w:val="2"/>
          <w:sz w:val="32"/>
          <w:szCs w:val="32"/>
          <w:highlight w:val="none"/>
          <w:lang w:val="en-US" w:eastAsia="zh-CN" w:bidi="ar-SA"/>
        </w:rPr>
        <w:t>三农</w:t>
      </w:r>
      <w:r>
        <w:rPr>
          <w:rFonts w:hint="eastAsia" w:hAnsi="Times New Roman" w:cs="Times New Roman"/>
          <w:b w:val="0"/>
          <w:bCs w:val="0"/>
          <w:kern w:val="2"/>
          <w:sz w:val="32"/>
          <w:szCs w:val="32"/>
          <w:highlight w:val="none"/>
          <w:lang w:val="en-US" w:eastAsia="zh-CN" w:bidi="ar-SA"/>
        </w:rPr>
        <w:t>”</w:t>
      </w:r>
      <w:r>
        <w:rPr>
          <w:rFonts w:hint="eastAsia" w:ascii="仿宋_GB2312" w:hAnsi="Times New Roman" w:eastAsia="仿宋_GB2312" w:cs="Times New Roman"/>
          <w:b w:val="0"/>
          <w:bCs w:val="0"/>
          <w:kern w:val="2"/>
          <w:sz w:val="32"/>
          <w:szCs w:val="32"/>
          <w:highlight w:val="none"/>
          <w:lang w:val="en-US" w:eastAsia="zh-CN" w:bidi="ar-SA"/>
        </w:rPr>
        <w:t>领域的基础性、综合性法律，为乡村产业振兴、人才振兴、文化振兴、生态振兴和组织振兴提供了法治保障，明确了乡村创客社区建设的法律依据。《全国乡村产业发展规划（2020-2025年）》提出了乡村产业发展的目标和路径，为乡村创客社区建设提供了政策支持。《广东省乡村振兴促进条例》结合广东省实际，细化了乡村振兴的具体措施，为乡村创客社区建设提供了地方性法规保障。《河源市全面推进乡村振兴加快农业农村现代化的实施方案》则为河源市乡村创客社区建设提供了具体指导。这些法律、法规和政策文件共同构成了乡村创客社区建设的政策支持体系，为《乡村创客社区建设指南》标准的制定提供了坚实的政策依据。</w:t>
      </w:r>
    </w:p>
    <w:p>
      <w:pPr>
        <w:widowControl w:val="0"/>
        <w:wordWrap/>
        <w:adjustRightInd/>
        <w:snapToGrid/>
        <w:ind w:firstLine="640" w:firstLineChars="200"/>
        <w:textAlignment w:val="auto"/>
        <w:rPr>
          <w:rFonts w:hint="eastAsia" w:ascii="仿宋_GB2312" w:hAnsi="Times New Roman" w:eastAsia="仿宋_GB2312" w:cs="Times New Roman"/>
          <w:b w:val="0"/>
          <w:bCs w:val="0"/>
          <w:kern w:val="2"/>
          <w:sz w:val="32"/>
          <w:szCs w:val="32"/>
          <w:highlight w:val="none"/>
          <w:lang w:val="en-US" w:eastAsia="zh-CN" w:bidi="ar-SA"/>
        </w:rPr>
      </w:pPr>
      <w:r>
        <w:rPr>
          <w:rFonts w:hint="eastAsia" w:ascii="仿宋_GB2312" w:hAnsi="Times New Roman" w:eastAsia="仿宋_GB2312" w:cs="Times New Roman"/>
          <w:b w:val="0"/>
          <w:bCs w:val="0"/>
          <w:kern w:val="2"/>
          <w:sz w:val="32"/>
          <w:szCs w:val="32"/>
          <w:highlight w:val="none"/>
          <w:lang w:val="en-US" w:eastAsia="zh-CN" w:bidi="ar-SA"/>
        </w:rPr>
        <w:t>本标准与现有国家标准、行业标准无冲突，是对现有标准体系的补充和完善。标准内容严格遵循相关法律法规要求，不存在违反强制性标准的情况。</w:t>
      </w:r>
    </w:p>
    <w:p>
      <w:pPr>
        <w:rPr>
          <w:rFonts w:hint="default" w:hAnsi="Times New Roman" w:cs="Times New Roman"/>
          <w:b w:val="0"/>
          <w:bCs w:val="0"/>
          <w:highlight w:val="none"/>
          <w:lang w:val="en-US" w:eastAsia="zh-CN"/>
        </w:rPr>
      </w:pPr>
      <w:r>
        <w:rPr>
          <w:rFonts w:hint="eastAsia" w:hAnsi="Times New Roman" w:cs="Times New Roman"/>
          <w:b w:val="0"/>
          <w:bCs w:val="0"/>
          <w:highlight w:val="none"/>
          <w:lang w:val="en-US" w:eastAsia="zh-CN"/>
        </w:rPr>
        <w:t>2.标准化现状</w:t>
      </w:r>
    </w:p>
    <w:p>
      <w:pPr>
        <w:rPr>
          <w:rFonts w:hint="eastAsia"/>
          <w:highlight w:val="none"/>
          <w:lang w:val="en-US" w:eastAsia="zh-CN"/>
        </w:rPr>
      </w:pPr>
      <w:r>
        <w:rPr>
          <w:rFonts w:hint="eastAsia"/>
          <w:b/>
          <w:bCs/>
          <w:highlight w:val="none"/>
          <w:lang w:val="en-US" w:eastAsia="zh-CN"/>
        </w:rPr>
        <w:t>国内已发布相关地方标准及团体标准。</w:t>
      </w:r>
      <w:r>
        <w:rPr>
          <w:rFonts w:hint="eastAsia"/>
          <w:highlight w:val="none"/>
          <w:lang w:val="en-US" w:eastAsia="zh-CN"/>
        </w:rPr>
        <w:t>目前国内已有一些与乡村创客相关的标准，主要为地方标准、团体标准，如：浙江省地方标准《乡村合作创业管理与服务规范》（DB33/T 2572-2023），规定了乡村合作创业的基本要求、组织管理、创业规划、场地及设施、创业服务、评价与改进等内容，适用于行政村开展合作创业管理与服务工作。安徽省地方标准《众创空间孵化服务规范》（DB34/T 4443-2023），确立了众创空间孵化服务的基本要求，并规定了众创空间孵化服务的流程、内容以及评价与改进，适用于众创空间孵化服务。浙江省团体标准《乡村文化和旅游创客基地数字化建设与服务指南》（T/ZJLB 2002—2021），对乡村文旅创客基地的数字化建设与服务进行了规范。四川省地方标准《众创空间服务规范》（DB51/T 2699-2020），规定了众创空间服务的基本要求、服务内容、服务流程、服务评价与改进等内容，适用于众创空间服务。江苏省地方标准《乡村旅游创客示范基地规范》（DB32/T 3732—2020），规定了乡村旅游创客示范基地的建设与管理要求。</w:t>
      </w:r>
    </w:p>
    <w:p>
      <w:pPr>
        <w:rPr>
          <w:rFonts w:hint="eastAsia"/>
          <w:highlight w:val="none"/>
          <w:lang w:val="en-US" w:eastAsia="zh-CN"/>
        </w:rPr>
      </w:pPr>
      <w:r>
        <w:rPr>
          <w:rFonts w:hint="eastAsia"/>
          <w:b/>
          <w:bCs/>
          <w:highlight w:val="none"/>
          <w:lang w:val="en-US" w:eastAsia="zh-CN"/>
        </w:rPr>
        <w:t>国外主要依据相关法案。</w:t>
      </w:r>
      <w:r>
        <w:rPr>
          <w:rFonts w:hint="eastAsia"/>
          <w:highlight w:val="none"/>
          <w:lang w:val="en-US" w:eastAsia="zh-CN"/>
        </w:rPr>
        <w:t>尚未发现专门针对乡村创客社区建设与服务的标准，乡村创业园区、乡村旅游等方面主要依据相关法案如：美国《2018年农业进步法案》提出开展农村商业合作服务项目、技术援助和培训，设立乡村地区社区创新与经济发展委员会，强化乡村创新经济支持等，旨在通过提升乡村创新创业活力促进其发展。日本2014年制定并实施《地方再生特别区域法》旨在促进地方经济的再生和活力，推动区域均衡发展。</w:t>
      </w:r>
    </w:p>
    <w:p>
      <w:pPr>
        <w:rPr>
          <w:rFonts w:hint="eastAsia" w:ascii="黑体" w:hAnsi="黑体" w:eastAsia="黑体" w:cs="黑体"/>
          <w:b w:val="0"/>
          <w:bCs w:val="0"/>
          <w:highlight w:val="none"/>
          <w:lang w:val="en-US" w:eastAsia="zh-CN"/>
        </w:rPr>
      </w:pPr>
      <w:bookmarkStart w:id="1" w:name="_Toc15563"/>
      <w:r>
        <w:rPr>
          <w:rFonts w:hint="eastAsia" w:ascii="黑体" w:hAnsi="黑体" w:eastAsia="黑体" w:cs="黑体"/>
          <w:b w:val="0"/>
          <w:bCs w:val="0"/>
          <w:highlight w:val="none"/>
          <w:lang w:val="en-US" w:eastAsia="zh-CN"/>
        </w:rPr>
        <w:t>二、工作简况</w:t>
      </w:r>
    </w:p>
    <w:p>
      <w:pPr>
        <w:rPr>
          <w:rFonts w:hint="eastAsia" w:ascii="楷体_GB2312" w:hAnsi="楷体_GB2312" w:eastAsia="楷体_GB2312" w:cs="楷体_GB2312"/>
          <w:b w:val="0"/>
          <w:bCs/>
          <w:kern w:val="2"/>
          <w:sz w:val="32"/>
          <w:szCs w:val="32"/>
          <w:highlight w:val="none"/>
          <w:lang w:val="en-US" w:eastAsia="zh-CN" w:bidi="ar-SA"/>
        </w:rPr>
      </w:pPr>
      <w:r>
        <w:rPr>
          <w:rFonts w:hint="eastAsia" w:ascii="楷体_GB2312" w:hAnsi="楷体_GB2312" w:eastAsia="楷体_GB2312" w:cs="楷体_GB2312"/>
          <w:b w:val="0"/>
          <w:bCs/>
          <w:kern w:val="2"/>
          <w:sz w:val="32"/>
          <w:szCs w:val="32"/>
          <w:highlight w:val="none"/>
          <w:lang w:val="en-US" w:eastAsia="zh-CN" w:bidi="ar-SA"/>
        </w:rPr>
        <w:t>（一）任务来源</w:t>
      </w:r>
      <w:bookmarkEnd w:id="1"/>
    </w:p>
    <w:p>
      <w:pPr>
        <w:rPr>
          <w:rFonts w:hint="eastAsia"/>
          <w:highlight w:val="none"/>
          <w:lang w:val="en-US" w:eastAsia="zh-CN"/>
        </w:rPr>
      </w:pPr>
      <w:r>
        <w:rPr>
          <w:rFonts w:hint="eastAsia"/>
          <w:highlight w:val="none"/>
          <w:lang w:val="en-US" w:eastAsia="zh-CN"/>
        </w:rPr>
        <w:t>本标准由中共东源县委社会工作部提出，由河源市市场监督管理局监管，中共东源县委社会工作部落实。</w:t>
      </w:r>
    </w:p>
    <w:p>
      <w:pPr>
        <w:rPr>
          <w:rFonts w:hint="eastAsia" w:ascii="楷体_GB2312" w:hAnsi="楷体_GB2312" w:eastAsia="楷体_GB2312" w:cs="楷体_GB2312"/>
          <w:b w:val="0"/>
          <w:bCs/>
          <w:kern w:val="2"/>
          <w:sz w:val="32"/>
          <w:szCs w:val="32"/>
          <w:highlight w:val="none"/>
          <w:lang w:val="en-US" w:eastAsia="zh-CN" w:bidi="ar-SA"/>
        </w:rPr>
      </w:pPr>
      <w:r>
        <w:rPr>
          <w:rFonts w:hint="eastAsia" w:ascii="楷体_GB2312" w:hAnsi="楷体_GB2312" w:eastAsia="楷体_GB2312" w:cs="楷体_GB2312"/>
          <w:b w:val="0"/>
          <w:bCs/>
          <w:kern w:val="2"/>
          <w:sz w:val="32"/>
          <w:szCs w:val="32"/>
          <w:highlight w:val="none"/>
          <w:lang w:val="en-US" w:eastAsia="zh-CN" w:bidi="ar-SA"/>
        </w:rPr>
        <w:t>（二）主要起草过程</w:t>
      </w:r>
      <w:bookmarkStart w:id="2" w:name="_Toc28307"/>
    </w:p>
    <w:bookmarkEnd w:id="2"/>
    <w:p>
      <w:pPr>
        <w:rPr>
          <w:rFonts w:hint="eastAsia"/>
          <w:highlight w:val="none"/>
          <w:lang w:val="en-US" w:eastAsia="zh-CN"/>
        </w:rPr>
      </w:pPr>
      <w:bookmarkStart w:id="3" w:name="_Toc12424"/>
      <w:bookmarkStart w:id="4" w:name="_Toc14984"/>
      <w:bookmarkStart w:id="5" w:name="_Toc19940"/>
      <w:bookmarkStart w:id="6" w:name="_Toc16323"/>
      <w:r>
        <w:rPr>
          <w:rFonts w:hint="eastAsia"/>
          <w:highlight w:val="none"/>
          <w:lang w:val="en-US" w:eastAsia="zh-CN"/>
        </w:rPr>
        <w:t>1.确定标准起草人员和安排工作计划</w:t>
      </w:r>
    </w:p>
    <w:p>
      <w:pPr>
        <w:rPr>
          <w:rFonts w:hint="eastAsia"/>
          <w:highlight w:val="none"/>
          <w:lang w:val="en-US" w:eastAsia="zh-CN"/>
        </w:rPr>
      </w:pPr>
      <w:r>
        <w:rPr>
          <w:rFonts w:hint="eastAsia"/>
          <w:highlight w:val="none"/>
          <w:lang w:val="en-US" w:eastAsia="zh-CN"/>
        </w:rPr>
        <w:t>2024年8月，由东源县新时代和美乡村研究院和深圳市标准化研究院组成标准起草小组，计划在2025年3月底前完成《乡村创客社区要素建设指南》初稿。</w:t>
      </w:r>
    </w:p>
    <w:p>
      <w:pPr>
        <w:rPr>
          <w:rFonts w:hint="eastAsia"/>
          <w:highlight w:val="none"/>
          <w:lang w:val="en-US" w:eastAsia="zh-CN"/>
        </w:rPr>
      </w:pPr>
      <w:r>
        <w:rPr>
          <w:rFonts w:hint="eastAsia"/>
          <w:highlight w:val="none"/>
          <w:lang w:val="en-US" w:eastAsia="zh-CN"/>
        </w:rPr>
        <w:t>2.资料准备</w:t>
      </w:r>
    </w:p>
    <w:p>
      <w:pPr>
        <w:rPr>
          <w:rFonts w:hint="eastAsia"/>
          <w:highlight w:val="none"/>
          <w:lang w:val="en-US" w:eastAsia="zh-CN"/>
        </w:rPr>
      </w:pPr>
      <w:r>
        <w:rPr>
          <w:rFonts w:hint="eastAsia"/>
          <w:highlight w:val="none"/>
          <w:lang w:val="en-US" w:eastAsia="zh-CN"/>
        </w:rPr>
        <w:t>标准起草小组查阅了大量国内外相关研究成果和文献，对照多个有关的国家标准、行业标准和地方标准，并进行了认真研读和分析。类似标准数年前在西方国家已有制定，如美国的一些学者归纳了优质创客社区的评价标准，这些标准强调支持创客从不同角度参与创新过程，让创客投入其中、乐在其中；允许创客自主选择活动；促进学习过程与创新创造过程的融合。此外，美国对创客社区的建设也明确提出了自身所担负的教育责任，并积极动员全美各地区、各社区将创客行动纳入区域与社区的发展计划之中。其中至少包括以下内容：</w:t>
      </w:r>
    </w:p>
    <w:p>
      <w:pPr>
        <w:rPr>
          <w:rFonts w:hint="eastAsia"/>
          <w:highlight w:val="none"/>
          <w:lang w:val="en-US" w:eastAsia="zh-CN"/>
        </w:rPr>
      </w:pPr>
      <w:r>
        <w:rPr>
          <w:rFonts w:hint="eastAsia"/>
          <w:highlight w:val="none"/>
          <w:lang w:val="en-US" w:eastAsia="zh-CN"/>
        </w:rPr>
        <w:t>（1）‌空间面积和功能范畴。要求创客社区具备足够的面积，能提供多样化的设备和工具等，以满足不同创客的需求。</w:t>
      </w:r>
    </w:p>
    <w:p>
      <w:pPr>
        <w:rPr>
          <w:rFonts w:hint="eastAsia"/>
          <w:highlight w:val="none"/>
          <w:lang w:val="en-US" w:eastAsia="zh-CN"/>
        </w:rPr>
      </w:pPr>
      <w:r>
        <w:rPr>
          <w:rFonts w:hint="eastAsia"/>
          <w:highlight w:val="none"/>
          <w:lang w:val="en-US" w:eastAsia="zh-CN"/>
        </w:rPr>
        <w:t>‌（2）可访问性。要求创客社区向所有社区成员开放，并能提供便捷的访问方式。</w:t>
      </w:r>
    </w:p>
    <w:p>
      <w:pPr>
        <w:rPr>
          <w:rFonts w:hint="eastAsia"/>
          <w:highlight w:val="none"/>
          <w:lang w:val="en-US" w:eastAsia="zh-CN"/>
        </w:rPr>
      </w:pPr>
      <w:r>
        <w:rPr>
          <w:rFonts w:hint="eastAsia"/>
          <w:highlight w:val="none"/>
          <w:lang w:val="en-US" w:eastAsia="zh-CN"/>
        </w:rPr>
        <w:t>（3）‌管理团队。要求创客社区有专业的管理团队，负责设备的维护、活动的组织、计划的实施等。</w:t>
      </w:r>
    </w:p>
    <w:p>
      <w:pPr>
        <w:rPr>
          <w:rFonts w:hint="eastAsia"/>
          <w:highlight w:val="none"/>
          <w:lang w:val="en-US" w:eastAsia="zh-CN"/>
        </w:rPr>
      </w:pPr>
      <w:r>
        <w:rPr>
          <w:rFonts w:hint="eastAsia"/>
          <w:highlight w:val="none"/>
          <w:lang w:val="en-US" w:eastAsia="zh-CN"/>
        </w:rPr>
        <w:t>（4）‌用户数量‌。要求创客社区的用户数量应达到一定的规模，以确保其活跃度和影响力。</w:t>
      </w:r>
    </w:p>
    <w:p>
      <w:pPr>
        <w:rPr>
          <w:rFonts w:hint="eastAsia"/>
          <w:highlight w:val="none"/>
          <w:lang w:val="en-US" w:eastAsia="zh-CN"/>
        </w:rPr>
      </w:pPr>
      <w:r>
        <w:rPr>
          <w:rFonts w:hint="eastAsia"/>
          <w:highlight w:val="none"/>
          <w:lang w:val="en-US" w:eastAsia="zh-CN"/>
        </w:rPr>
        <w:t>（5）先进硬软件设备。要求创客社区提供先进的硬件和软件设备，支持创客进行创新活动。</w:t>
      </w:r>
    </w:p>
    <w:p>
      <w:pPr>
        <w:rPr>
          <w:rFonts w:hint="eastAsia"/>
          <w:highlight w:val="none"/>
          <w:lang w:val="en-US" w:eastAsia="zh-CN"/>
        </w:rPr>
      </w:pPr>
      <w:r>
        <w:rPr>
          <w:rFonts w:hint="eastAsia"/>
          <w:highlight w:val="none"/>
          <w:lang w:val="en-US" w:eastAsia="zh-CN"/>
        </w:rPr>
        <w:t>‌（6）跨界师资和开放资源‌。要求创客社区能提供跨界师资和开放资源，促进跨学科的合作和创新。‌</w:t>
      </w:r>
    </w:p>
    <w:p>
      <w:pPr>
        <w:rPr>
          <w:rFonts w:hint="eastAsia"/>
          <w:highlight w:val="none"/>
          <w:lang w:val="en-US" w:eastAsia="zh-CN"/>
        </w:rPr>
      </w:pPr>
      <w:r>
        <w:rPr>
          <w:rFonts w:hint="eastAsia"/>
          <w:highlight w:val="none"/>
          <w:lang w:val="en-US" w:eastAsia="zh-CN"/>
        </w:rPr>
        <w:t>‌3.走访调研</w:t>
      </w:r>
    </w:p>
    <w:p>
      <w:pPr>
        <w:rPr>
          <w:rFonts w:hint="eastAsia"/>
          <w:highlight w:val="none"/>
          <w:lang w:val="en-US" w:eastAsia="zh-CN"/>
        </w:rPr>
      </w:pPr>
      <w:r>
        <w:rPr>
          <w:rFonts w:hint="eastAsia"/>
          <w:highlight w:val="none"/>
          <w:lang w:val="en-US" w:eastAsia="zh-CN"/>
        </w:rPr>
        <w:t xml:space="preserve">在河源市，特别是河源市东源县相关职能部门的协调下，规范起草小组查阅大量的基础资料，调研相关单位、社区和个人，确保为编制本标准提供有效保障。  </w:t>
      </w:r>
    </w:p>
    <w:p>
      <w:pPr>
        <w:rPr>
          <w:rFonts w:hint="eastAsia"/>
          <w:highlight w:val="none"/>
          <w:lang w:val="en-US" w:eastAsia="zh-CN"/>
        </w:rPr>
      </w:pPr>
      <w:r>
        <w:rPr>
          <w:rFonts w:hint="eastAsia"/>
          <w:highlight w:val="none"/>
          <w:lang w:val="en-US" w:eastAsia="zh-CN"/>
        </w:rPr>
        <w:t>4.规范编写</w:t>
      </w:r>
    </w:p>
    <w:p>
      <w:pPr>
        <w:rPr>
          <w:rFonts w:hint="eastAsia"/>
          <w:highlight w:val="none"/>
          <w:lang w:val="en-US" w:eastAsia="zh-CN"/>
        </w:rPr>
      </w:pPr>
      <w:r>
        <w:rPr>
          <w:rFonts w:hint="eastAsia"/>
          <w:highlight w:val="none"/>
          <w:lang w:val="en-US" w:eastAsia="zh-CN"/>
        </w:rPr>
        <w:t>2025年3月底，规范起草小组完成《乡村创客社区要素建设指南》初稿，3月底至4月底开展内部研讨，5月初完成《乡村创客社区要素建设指南》征求意见稿。</w:t>
      </w:r>
    </w:p>
    <w:p>
      <w:pPr>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三、主要技术内容及技术依据</w:t>
      </w:r>
    </w:p>
    <w:p>
      <w:pPr>
        <w:rPr>
          <w:rFonts w:hint="eastAsia" w:ascii="楷体_GB2312" w:hAnsi="楷体_GB2312" w:eastAsia="楷体_GB2312" w:cs="楷体_GB2312"/>
          <w:b w:val="0"/>
          <w:bCs/>
          <w:kern w:val="2"/>
          <w:sz w:val="32"/>
          <w:szCs w:val="32"/>
          <w:highlight w:val="none"/>
          <w:lang w:val="en-US" w:eastAsia="zh-CN" w:bidi="ar-SA"/>
        </w:rPr>
      </w:pPr>
      <w:r>
        <w:rPr>
          <w:rFonts w:hint="eastAsia" w:ascii="楷体_GB2312" w:hAnsi="楷体_GB2312" w:eastAsia="楷体_GB2312" w:cs="楷体_GB2312"/>
          <w:b w:val="0"/>
          <w:bCs/>
          <w:kern w:val="2"/>
          <w:sz w:val="32"/>
          <w:szCs w:val="32"/>
          <w:highlight w:val="none"/>
          <w:lang w:val="en-US" w:eastAsia="zh-CN" w:bidi="ar-SA"/>
        </w:rPr>
        <w:t>（一）范围</w:t>
      </w:r>
    </w:p>
    <w:p>
      <w:pPr>
        <w:rPr>
          <w:rFonts w:hint="eastAsia"/>
          <w:highlight w:val="none"/>
          <w:lang w:val="en-US" w:eastAsia="zh-CN"/>
        </w:rPr>
      </w:pPr>
      <w:r>
        <w:rPr>
          <w:rFonts w:hint="eastAsia"/>
          <w:highlight w:val="none"/>
          <w:lang w:val="en-US" w:eastAsia="zh-CN"/>
        </w:rPr>
        <w:t>本标准严格遵循GB/T 1.1-2020《标准化工作导则 第1部分：标准化文件的结构和起草规则》进行起草，并引用了GB 50352、GB 5749、GB/T 44347、GB/T 50445、DB3302/T 1081、GB/T 17217等相关国家标准和行业规范，确保了标准内容的规范性和一致性。</w:t>
      </w:r>
    </w:p>
    <w:p>
      <w:pPr>
        <w:rPr>
          <w:rFonts w:hint="eastAsia" w:ascii="楷体_GB2312" w:hAnsi="楷体_GB2312" w:eastAsia="楷体_GB2312" w:cs="楷体_GB2312"/>
          <w:b w:val="0"/>
          <w:bCs/>
          <w:kern w:val="2"/>
          <w:sz w:val="32"/>
          <w:szCs w:val="32"/>
          <w:highlight w:val="none"/>
          <w:lang w:val="en-US" w:eastAsia="zh-CN" w:bidi="ar-SA"/>
        </w:rPr>
      </w:pPr>
      <w:r>
        <w:rPr>
          <w:rFonts w:hint="eastAsia" w:ascii="楷体_GB2312" w:hAnsi="楷体_GB2312" w:eastAsia="楷体_GB2312" w:cs="楷体_GB2312"/>
          <w:b w:val="0"/>
          <w:bCs/>
          <w:kern w:val="2"/>
          <w:sz w:val="32"/>
          <w:szCs w:val="32"/>
          <w:highlight w:val="none"/>
          <w:lang w:val="en-US" w:eastAsia="zh-CN" w:bidi="ar-SA"/>
        </w:rPr>
        <w:t>（二）术语和定义</w:t>
      </w:r>
    </w:p>
    <w:p>
      <w:pPr>
        <w:pStyle w:val="6"/>
        <w:rPr>
          <w:rFonts w:hint="default" w:eastAsia="仿宋_GB2312"/>
          <w:highlight w:val="none"/>
          <w:lang w:val="en-US" w:eastAsia="zh-CN"/>
        </w:rPr>
      </w:pPr>
      <w:r>
        <w:rPr>
          <w:rFonts w:hint="default" w:eastAsia="仿宋_GB2312"/>
          <w:highlight w:val="none"/>
          <w:lang w:val="en-US" w:eastAsia="zh-CN"/>
        </w:rPr>
        <w:t>标准中对“乡村创客社区”、“运营管理”、“机构设置”、“运营管理内容”</w:t>
      </w:r>
      <w:r>
        <w:rPr>
          <w:rFonts w:hint="eastAsia"/>
          <w:highlight w:val="none"/>
          <w:lang w:val="en-US" w:eastAsia="zh-CN"/>
        </w:rPr>
        <w:t>和</w:t>
      </w:r>
      <w:r>
        <w:rPr>
          <w:rFonts w:hint="default" w:eastAsia="仿宋_GB2312"/>
          <w:highlight w:val="none"/>
          <w:lang w:val="en-US" w:eastAsia="zh-CN"/>
        </w:rPr>
        <w:t>“运营管理机制”等关键术语进行了明确定义，构建了标准实施的概念框架，确保了术语使用的准确性和一致性。</w:t>
      </w:r>
    </w:p>
    <w:bookmarkEnd w:id="3"/>
    <w:bookmarkEnd w:id="4"/>
    <w:bookmarkEnd w:id="5"/>
    <w:bookmarkEnd w:id="6"/>
    <w:p>
      <w:pPr>
        <w:pStyle w:val="3"/>
        <w:numPr>
          <w:ilvl w:val="0"/>
          <w:numId w:val="1"/>
        </w:numPr>
        <w:rPr>
          <w:rFonts w:hint="eastAsia" w:ascii="楷体_GB2312" w:hAnsi="楷体_GB2312" w:eastAsia="楷体_GB2312" w:cs="楷体_GB2312"/>
          <w:b w:val="0"/>
          <w:bCs/>
          <w:kern w:val="2"/>
          <w:sz w:val="32"/>
          <w:szCs w:val="32"/>
          <w:highlight w:val="none"/>
          <w:lang w:val="en-US" w:eastAsia="zh-CN" w:bidi="ar-SA"/>
        </w:rPr>
      </w:pPr>
      <w:bookmarkStart w:id="7" w:name="_Toc17650"/>
      <w:bookmarkStart w:id="8" w:name="_Toc4310"/>
      <w:bookmarkStart w:id="9" w:name="_Toc24540"/>
      <w:bookmarkStart w:id="10" w:name="_Toc10484"/>
      <w:r>
        <w:rPr>
          <w:rFonts w:hint="eastAsia" w:ascii="楷体_GB2312" w:hAnsi="楷体_GB2312" w:eastAsia="楷体_GB2312" w:cs="楷体_GB2312"/>
          <w:b w:val="0"/>
          <w:bCs/>
          <w:kern w:val="2"/>
          <w:sz w:val="32"/>
          <w:szCs w:val="32"/>
          <w:highlight w:val="none"/>
          <w:lang w:val="en-US" w:eastAsia="zh-CN" w:bidi="ar-SA"/>
        </w:rPr>
        <w:t>主要技术内容</w:t>
      </w:r>
    </w:p>
    <w:p>
      <w:pPr>
        <w:numPr>
          <w:ilvl w:val="0"/>
          <w:numId w:val="0"/>
        </w:numPr>
        <w:rPr>
          <w:rFonts w:hint="eastAsia"/>
          <w:highlight w:val="none"/>
          <w:lang w:val="en-US" w:eastAsia="zh-CN"/>
        </w:rPr>
      </w:pPr>
      <w:r>
        <w:rPr>
          <w:rFonts w:hint="eastAsia"/>
          <w:highlight w:val="none"/>
          <w:lang w:val="en-US" w:eastAsia="zh-CN"/>
        </w:rPr>
        <w:t xml:space="preserve">    1.建设要求</w:t>
      </w:r>
    </w:p>
    <w:p>
      <w:pPr>
        <w:numPr>
          <w:ilvl w:val="0"/>
          <w:numId w:val="0"/>
        </w:numPr>
        <w:rPr>
          <w:rFonts w:hint="default"/>
          <w:highlight w:val="none"/>
          <w:lang w:val="en-US" w:eastAsia="zh-CN"/>
        </w:rPr>
      </w:pPr>
      <w:r>
        <w:rPr>
          <w:rFonts w:hint="eastAsia"/>
          <w:highlight w:val="none"/>
          <w:lang w:val="en-US" w:eastAsia="zh-CN"/>
        </w:rPr>
        <w:t xml:space="preserve">    首先强调三大原则，为整个标准奠定基础。因地制宜原则确保社区建设与当地实际情况相结合，可持续性原则保障社区的长期稳定发展，开放共享原则有助于资源整合与创新活力的激发。这是对社区建设总体理念的阐述，为后续各章节提供指导思想。</w:t>
      </w:r>
    </w:p>
    <w:p>
      <w:pPr>
        <w:numPr>
          <w:ilvl w:val="0"/>
          <w:numId w:val="0"/>
        </w:numPr>
        <w:ind w:firstLine="640" w:firstLineChars="200"/>
        <w:rPr>
          <w:rFonts w:hint="default"/>
          <w:lang w:val="en-US" w:eastAsia="zh-CN"/>
        </w:rPr>
      </w:pPr>
      <w:r>
        <w:rPr>
          <w:rFonts w:hint="eastAsia"/>
          <w:lang w:val="en-US" w:eastAsia="zh-CN"/>
        </w:rPr>
        <w:t>因地制宜原则</w:t>
      </w:r>
      <w:r>
        <w:rPr>
          <w:rFonts w:hint="default"/>
          <w:lang w:val="en-US" w:eastAsia="zh-CN"/>
        </w:rPr>
        <w:t>：强调了</w:t>
      </w:r>
      <w:r>
        <w:rPr>
          <w:rFonts w:hint="eastAsia"/>
          <w:lang w:val="en-US" w:eastAsia="zh-CN"/>
        </w:rPr>
        <w:t>本地自然资源</w:t>
      </w:r>
      <w:r>
        <w:rPr>
          <w:rFonts w:hint="default"/>
          <w:lang w:val="en-US" w:eastAsia="zh-CN"/>
        </w:rPr>
        <w:t>、</w:t>
      </w:r>
      <w:r>
        <w:rPr>
          <w:rFonts w:hint="eastAsia"/>
          <w:lang w:val="en-US" w:eastAsia="zh-CN"/>
        </w:rPr>
        <w:t>产业基础、文化资源</w:t>
      </w:r>
      <w:r>
        <w:rPr>
          <w:rFonts w:hint="default"/>
          <w:lang w:val="en-US" w:eastAsia="zh-CN"/>
        </w:rPr>
        <w:t>等关键选址因素。</w:t>
      </w:r>
    </w:p>
    <w:p>
      <w:pPr>
        <w:numPr>
          <w:ilvl w:val="0"/>
          <w:numId w:val="0"/>
        </w:numPr>
        <w:ind w:firstLine="640" w:firstLineChars="200"/>
        <w:rPr>
          <w:rFonts w:hint="default"/>
          <w:lang w:val="en-US" w:eastAsia="zh-CN"/>
        </w:rPr>
      </w:pPr>
      <w:r>
        <w:rPr>
          <w:rFonts w:hint="eastAsia"/>
          <w:lang w:val="en-US" w:eastAsia="zh-CN"/>
        </w:rPr>
        <w:t>可持续性原则</w:t>
      </w:r>
      <w:r>
        <w:rPr>
          <w:rFonts w:hint="default"/>
          <w:lang w:val="en-US" w:eastAsia="zh-CN"/>
        </w:rPr>
        <w:t>：</w:t>
      </w:r>
      <w:r>
        <w:rPr>
          <w:rFonts w:hint="eastAsia"/>
          <w:lang w:val="en-US" w:eastAsia="zh-CN"/>
        </w:rPr>
        <w:t>强调了创客社区生态资源、经济发展和社会发展的可持续性发展原则</w:t>
      </w:r>
      <w:r>
        <w:rPr>
          <w:rFonts w:hint="default"/>
          <w:lang w:val="en-US" w:eastAsia="zh-CN"/>
        </w:rPr>
        <w:t>。</w:t>
      </w:r>
    </w:p>
    <w:p>
      <w:pPr>
        <w:numPr>
          <w:ilvl w:val="0"/>
          <w:numId w:val="0"/>
        </w:numPr>
        <w:ind w:firstLine="640" w:firstLineChars="200"/>
        <w:rPr>
          <w:rFonts w:hint="eastAsia"/>
          <w:lang w:val="en-US" w:eastAsia="zh-CN"/>
        </w:rPr>
      </w:pPr>
      <w:r>
        <w:rPr>
          <w:rFonts w:hint="eastAsia"/>
          <w:lang w:val="en-US" w:eastAsia="zh-CN"/>
        </w:rPr>
        <w:t>开放共享原则</w:t>
      </w:r>
      <w:r>
        <w:rPr>
          <w:rFonts w:hint="default"/>
          <w:lang w:val="en-US" w:eastAsia="zh-CN"/>
        </w:rPr>
        <w:t>：</w:t>
      </w:r>
      <w:r>
        <w:rPr>
          <w:rFonts w:hint="eastAsia"/>
          <w:lang w:val="en-US" w:eastAsia="zh-CN"/>
        </w:rPr>
        <w:t>鼓励搭建开放的交流合作平台，促进多方资源整合与协同创新。</w:t>
      </w:r>
    </w:p>
    <w:p>
      <w:pPr>
        <w:numPr>
          <w:ilvl w:val="0"/>
          <w:numId w:val="0"/>
        </w:numPr>
        <w:ind w:firstLine="640" w:firstLineChars="200"/>
        <w:rPr>
          <w:rFonts w:hint="eastAsia"/>
          <w:lang w:val="en-US" w:eastAsia="zh-CN"/>
        </w:rPr>
      </w:pPr>
      <w:r>
        <w:rPr>
          <w:rFonts w:hint="eastAsia"/>
          <w:lang w:val="en-US" w:eastAsia="zh-CN"/>
        </w:rPr>
        <w:t>2.选址规划</w:t>
      </w:r>
    </w:p>
    <w:p>
      <w:pPr>
        <w:numPr>
          <w:ilvl w:val="0"/>
          <w:numId w:val="0"/>
        </w:numPr>
        <w:ind w:firstLine="640"/>
        <w:rPr>
          <w:rFonts w:hint="eastAsia"/>
          <w:lang w:val="en-US" w:eastAsia="zh-CN"/>
        </w:rPr>
      </w:pPr>
      <w:r>
        <w:rPr>
          <w:rFonts w:hint="eastAsia"/>
          <w:lang w:val="en-US" w:eastAsia="zh-CN"/>
        </w:rPr>
        <w:t>选址评估明确了在选择社区建设地址时需要考虑的关键因素，确保选址的科学性和合理性。规划要素则进一步细化了社区建设规划需要涵盖的各个方面，确保社区从一开始就有一个全面、系统的规划基础，为后续的建设和发展提供清晰的方向。</w:t>
      </w:r>
    </w:p>
    <w:p>
      <w:pPr>
        <w:numPr>
          <w:ilvl w:val="0"/>
          <w:numId w:val="0"/>
        </w:numPr>
        <w:ind w:firstLine="640"/>
        <w:rPr>
          <w:rFonts w:hint="eastAsia"/>
          <w:lang w:val="en-US" w:eastAsia="zh-CN"/>
        </w:rPr>
      </w:pPr>
      <w:r>
        <w:rPr>
          <w:rFonts w:hint="eastAsia"/>
          <w:lang w:val="en-US" w:eastAsia="zh-CN"/>
        </w:rPr>
        <w:t>选址评估：提出选址需考虑交通便利性、产业集聚、乡村资源、产业基础、生态保护及本土文化特色等因素。</w:t>
      </w:r>
    </w:p>
    <w:p>
      <w:pPr>
        <w:numPr>
          <w:ilvl w:val="0"/>
          <w:numId w:val="0"/>
        </w:numPr>
        <w:ind w:firstLine="640"/>
        <w:rPr>
          <w:rFonts w:hint="default"/>
          <w:lang w:val="en-US" w:eastAsia="zh-CN"/>
        </w:rPr>
      </w:pPr>
      <w:r>
        <w:rPr>
          <w:rFonts w:hint="eastAsia"/>
          <w:lang w:val="en-US" w:eastAsia="zh-CN"/>
        </w:rPr>
        <w:t>规划要素：提出社区建设规划应考虑功能定位、需求和目标、规模与范围、产业方向、产业类型基础设施、空间布局、配套设施、社区文化特色和风格等因素。</w:t>
      </w:r>
    </w:p>
    <w:p>
      <w:pPr>
        <w:numPr>
          <w:ilvl w:val="0"/>
          <w:numId w:val="0"/>
        </w:numPr>
        <w:ind w:firstLine="640" w:firstLineChars="200"/>
        <w:rPr>
          <w:rFonts w:hint="default"/>
          <w:highlight w:val="none"/>
          <w:lang w:val="en-US" w:eastAsia="zh-CN"/>
        </w:rPr>
      </w:pPr>
      <w:r>
        <w:rPr>
          <w:rFonts w:hint="eastAsia"/>
          <w:highlight w:val="none"/>
          <w:lang w:val="en-US" w:eastAsia="zh-CN"/>
        </w:rPr>
        <w:t>3.</w:t>
      </w:r>
      <w:r>
        <w:rPr>
          <w:rFonts w:hint="default"/>
          <w:highlight w:val="none"/>
          <w:lang w:val="en-US" w:eastAsia="zh-CN"/>
        </w:rPr>
        <w:t>基础设施</w:t>
      </w:r>
    </w:p>
    <w:p>
      <w:pPr>
        <w:numPr>
          <w:ilvl w:val="0"/>
          <w:numId w:val="0"/>
        </w:numPr>
        <w:rPr>
          <w:rFonts w:hint="eastAsia"/>
          <w:highlight w:val="none"/>
          <w:lang w:val="en-US" w:eastAsia="zh-CN"/>
        </w:rPr>
      </w:pPr>
      <w:r>
        <w:rPr>
          <w:rFonts w:hint="eastAsia"/>
          <w:highlight w:val="none"/>
          <w:lang w:val="en-US" w:eastAsia="zh-CN"/>
        </w:rPr>
        <w:t xml:space="preserve">    基础硬件部分规定了社区建设硬件设施的建设标准，是社区正常运转的物质基础。环境建设部分则关注社区的整体环境质量，旨在为居民和创客提供一个舒适、美观的环境。数字化设备部分则着眼于现代社区的信息化需求，提升社区的现代化水平和竞争力。</w:t>
      </w:r>
    </w:p>
    <w:p>
      <w:pPr>
        <w:numPr>
          <w:ilvl w:val="0"/>
          <w:numId w:val="0"/>
        </w:numPr>
        <w:ind w:firstLine="640" w:firstLineChars="200"/>
        <w:rPr>
          <w:rFonts w:hint="default"/>
          <w:highlight w:val="none"/>
          <w:lang w:val="en-US" w:eastAsia="zh-CN"/>
        </w:rPr>
      </w:pPr>
      <w:r>
        <w:rPr>
          <w:rFonts w:hint="eastAsia"/>
          <w:highlight w:val="none"/>
          <w:lang w:val="en-US" w:eastAsia="zh-CN"/>
        </w:rPr>
        <w:t>基础硬件：要求建筑符合GB 50352 标准，保障供水水质符合 GB 5749 标准，保障电力设施安全运行，配备安全保障设施，完善内部交通网络，并设置无障碍设施。</w:t>
      </w:r>
    </w:p>
    <w:p>
      <w:pPr>
        <w:numPr>
          <w:ilvl w:val="0"/>
          <w:numId w:val="0"/>
        </w:numPr>
        <w:ind w:firstLine="640" w:firstLineChars="200"/>
        <w:rPr>
          <w:rFonts w:hint="default"/>
          <w:lang w:val="en-US" w:eastAsia="zh-CN"/>
        </w:rPr>
      </w:pPr>
      <w:r>
        <w:rPr>
          <w:rFonts w:hint="eastAsia"/>
          <w:highlight w:val="none"/>
          <w:lang w:val="en-US" w:eastAsia="zh-CN"/>
        </w:rPr>
        <w:t>环境建设：要求实现人车分流，</w:t>
      </w:r>
      <w:r>
        <w:rPr>
          <w:rFonts w:hint="eastAsia"/>
          <w:lang w:val="en-US" w:eastAsia="zh-CN"/>
        </w:rPr>
        <w:t>参照</w:t>
      </w:r>
      <w:r>
        <w:rPr>
          <w:rFonts w:hint="default"/>
          <w:lang w:val="en-US" w:eastAsia="zh-CN"/>
        </w:rPr>
        <w:t>GB/T 50445 开展环境整治，参照GB/T 44347 中的相关标准，确保社区绿化达标</w:t>
      </w:r>
      <w:r>
        <w:rPr>
          <w:rFonts w:hint="eastAsia"/>
          <w:lang w:val="en-US" w:eastAsia="zh-CN"/>
        </w:rPr>
        <w:t>，提出采用本地林木花草品种</w:t>
      </w:r>
      <w:r>
        <w:rPr>
          <w:rFonts w:hint="default"/>
          <w:lang w:val="en-US" w:eastAsia="zh-CN"/>
        </w:rPr>
        <w:t>。</w:t>
      </w:r>
    </w:p>
    <w:p>
      <w:pPr>
        <w:rPr>
          <w:rFonts w:hint="default"/>
          <w:highlight w:val="none"/>
          <w:lang w:val="en-US" w:eastAsia="zh-CN"/>
        </w:rPr>
      </w:pPr>
      <w:r>
        <w:rPr>
          <w:rFonts w:hint="eastAsia"/>
          <w:highlight w:val="none"/>
          <w:lang w:val="en-US" w:eastAsia="zh-CN"/>
        </w:rPr>
        <w:t>数字化设备：提出构建高速稳定安全的社区信息网络，实现光纤到户及 5G 网络全覆盖。部署物联网感知设备，建立社区数据中心，运用云计算技术，支持智慧社区运营与管理。</w:t>
      </w:r>
    </w:p>
    <w:p>
      <w:pPr>
        <w:rPr>
          <w:rFonts w:hint="default"/>
          <w:highlight w:val="none"/>
          <w:lang w:val="en-US" w:eastAsia="zh-CN"/>
        </w:rPr>
      </w:pPr>
      <w:r>
        <w:rPr>
          <w:rFonts w:hint="eastAsia"/>
          <w:highlight w:val="none"/>
          <w:lang w:val="en-US" w:eastAsia="zh-CN"/>
        </w:rPr>
        <w:t>4.空间布局</w:t>
      </w:r>
    </w:p>
    <w:p>
      <w:pPr>
        <w:numPr>
          <w:ilvl w:val="0"/>
          <w:numId w:val="0"/>
        </w:numPr>
        <w:ind w:firstLine="640" w:firstLineChars="200"/>
        <w:rPr>
          <w:rFonts w:hint="eastAsia"/>
          <w:lang w:val="en-US" w:eastAsia="zh-CN"/>
        </w:rPr>
      </w:pPr>
      <w:r>
        <w:rPr>
          <w:rFonts w:hint="eastAsia"/>
          <w:lang w:val="en-US" w:eastAsia="zh-CN"/>
        </w:rPr>
        <w:t>总体要求部分强调了空间布局需要考虑的几个关键因素，以此实现空间资源的高效利用和功能区域的合理划分。功能布局部分则具体提出了不同功能空间的划分建议，满足社区内不同活动和需求的场所要求，同时也便于管理和资源调配。</w:t>
      </w:r>
    </w:p>
    <w:p>
      <w:pPr>
        <w:numPr>
          <w:ilvl w:val="0"/>
          <w:numId w:val="0"/>
        </w:numPr>
        <w:ind w:firstLine="640" w:firstLineChars="200"/>
        <w:rPr>
          <w:rFonts w:hint="default"/>
          <w:lang w:val="en-US" w:eastAsia="zh-CN"/>
        </w:rPr>
      </w:pPr>
      <w:r>
        <w:rPr>
          <w:rFonts w:hint="eastAsia"/>
          <w:lang w:val="en-US" w:eastAsia="zh-CN"/>
        </w:rPr>
        <w:t>总体要求</w:t>
      </w:r>
      <w:r>
        <w:rPr>
          <w:rFonts w:hint="default"/>
          <w:lang w:val="en-US" w:eastAsia="zh-CN"/>
        </w:rPr>
        <w:t>：</w:t>
      </w:r>
      <w:r>
        <w:rPr>
          <w:rFonts w:hint="eastAsia"/>
          <w:lang w:val="en-US" w:eastAsia="zh-CN"/>
        </w:rPr>
        <w:t>要求空间布局需考虑周边环境融合性、交通流线合理性、空间资源高效利用性、功能分区独立性等因素</w:t>
      </w:r>
      <w:r>
        <w:rPr>
          <w:rFonts w:hint="default"/>
          <w:lang w:val="en-US" w:eastAsia="zh-CN"/>
        </w:rPr>
        <w:t>。</w:t>
      </w:r>
    </w:p>
    <w:p>
      <w:pPr>
        <w:rPr>
          <w:rFonts w:hint="default"/>
          <w:highlight w:val="none"/>
          <w:lang w:val="en-US" w:eastAsia="zh-CN"/>
        </w:rPr>
      </w:pPr>
      <w:r>
        <w:rPr>
          <w:rFonts w:hint="eastAsia"/>
          <w:highlight w:val="none"/>
          <w:lang w:val="en-US" w:eastAsia="zh-CN"/>
        </w:rPr>
        <w:t>功能布局：建议根据社区功能需求合理划分创客工作区、公共交流区、产业孵化区、文化休闲区、特色拓展区等功能空间，并按各区域独立功能性配置相应的个性空间、设施及设备。</w:t>
      </w:r>
    </w:p>
    <w:p>
      <w:pPr>
        <w:rPr>
          <w:rFonts w:hint="default"/>
          <w:highlight w:val="none"/>
          <w:lang w:val="en-US" w:eastAsia="zh-CN"/>
        </w:rPr>
      </w:pPr>
      <w:r>
        <w:rPr>
          <w:rFonts w:hint="eastAsia"/>
          <w:lang w:val="en-US" w:eastAsia="zh-CN"/>
        </w:rPr>
        <w:t>5.</w:t>
      </w:r>
      <w:r>
        <w:rPr>
          <w:rFonts w:hint="eastAsia"/>
          <w:highlight w:val="none"/>
          <w:lang w:val="en-US" w:eastAsia="zh-CN"/>
        </w:rPr>
        <w:t>配套设施</w:t>
      </w:r>
    </w:p>
    <w:p>
      <w:pPr>
        <w:numPr>
          <w:ilvl w:val="0"/>
          <w:numId w:val="0"/>
        </w:numPr>
        <w:ind w:firstLine="640" w:firstLineChars="200"/>
        <w:rPr>
          <w:rFonts w:hint="eastAsia"/>
          <w:lang w:val="en-US" w:eastAsia="zh-CN"/>
        </w:rPr>
      </w:pPr>
      <w:r>
        <w:rPr>
          <w:rFonts w:hint="eastAsia"/>
          <w:lang w:val="en-US" w:eastAsia="zh-CN"/>
        </w:rPr>
        <w:t>餐饮设施、购物设施关系到居民的生活便利性，而公共服务设施则是保障社区正常运行和居民生活质量的重要支撑。</w:t>
      </w:r>
    </w:p>
    <w:p>
      <w:pPr>
        <w:numPr>
          <w:ilvl w:val="0"/>
          <w:numId w:val="0"/>
        </w:numPr>
        <w:ind w:firstLine="640" w:firstLineChars="200"/>
        <w:rPr>
          <w:rFonts w:hint="default"/>
          <w:lang w:val="en-US" w:eastAsia="zh-CN"/>
        </w:rPr>
      </w:pPr>
      <w:r>
        <w:rPr>
          <w:rFonts w:hint="eastAsia"/>
          <w:lang w:val="en-US" w:eastAsia="zh-CN"/>
        </w:rPr>
        <w:t>餐饮设施</w:t>
      </w:r>
      <w:r>
        <w:rPr>
          <w:rFonts w:hint="default"/>
          <w:lang w:val="en-US" w:eastAsia="zh-CN"/>
        </w:rPr>
        <w:t>：</w:t>
      </w:r>
      <w:r>
        <w:rPr>
          <w:rFonts w:hint="eastAsia"/>
          <w:lang w:val="en-US" w:eastAsia="zh-CN"/>
        </w:rPr>
        <w:t>提出科学规划餐饮区域，配备完善的水电、照明、通风、排水系统及存储、烹饪、清洁设备</w:t>
      </w:r>
      <w:r>
        <w:rPr>
          <w:rFonts w:hint="default"/>
          <w:lang w:val="en-US" w:eastAsia="zh-CN"/>
        </w:rPr>
        <w:t>。</w:t>
      </w:r>
    </w:p>
    <w:p>
      <w:pPr>
        <w:numPr>
          <w:ilvl w:val="0"/>
          <w:numId w:val="0"/>
        </w:numPr>
        <w:ind w:firstLine="640" w:firstLineChars="200"/>
        <w:rPr>
          <w:rFonts w:hint="default"/>
          <w:lang w:val="en-US" w:eastAsia="zh-CN"/>
        </w:rPr>
      </w:pPr>
      <w:r>
        <w:rPr>
          <w:rFonts w:hint="eastAsia"/>
          <w:lang w:val="en-US" w:eastAsia="zh-CN"/>
        </w:rPr>
        <w:t>购物设施</w:t>
      </w:r>
      <w:r>
        <w:rPr>
          <w:rFonts w:hint="default"/>
          <w:lang w:val="en-US" w:eastAsia="zh-CN"/>
        </w:rPr>
        <w:t>：</w:t>
      </w:r>
      <w:r>
        <w:rPr>
          <w:rFonts w:hint="eastAsia"/>
          <w:lang w:val="en-US" w:eastAsia="zh-CN"/>
        </w:rPr>
        <w:t>提出合理规划购物区域，确保基础设施完备，配备足够货物存储空间及多元化购物结算系统</w:t>
      </w:r>
      <w:r>
        <w:rPr>
          <w:rFonts w:hint="default"/>
          <w:lang w:val="en-US" w:eastAsia="zh-CN"/>
        </w:rPr>
        <w:t>。</w:t>
      </w:r>
    </w:p>
    <w:p>
      <w:pPr>
        <w:numPr>
          <w:ilvl w:val="0"/>
          <w:numId w:val="0"/>
        </w:numPr>
        <w:ind w:firstLine="640" w:firstLineChars="200"/>
        <w:rPr>
          <w:rFonts w:hint="default"/>
          <w:lang w:val="en-US" w:eastAsia="zh-CN"/>
        </w:rPr>
      </w:pPr>
      <w:r>
        <w:rPr>
          <w:rFonts w:hint="eastAsia"/>
          <w:lang w:val="en-US" w:eastAsia="zh-CN"/>
        </w:rPr>
        <w:t>公共服务设施：要求设置社区医疗服务站点，引进物流公司，配置符合相关标准的公共厕所，为社区人员提供便捷的公共服务。</w:t>
      </w:r>
    </w:p>
    <w:p>
      <w:pPr>
        <w:rPr>
          <w:rFonts w:hint="default"/>
          <w:highlight w:val="none"/>
          <w:lang w:val="en-US" w:eastAsia="zh-CN"/>
        </w:rPr>
      </w:pPr>
      <w:r>
        <w:rPr>
          <w:rFonts w:hint="eastAsia"/>
          <w:lang w:val="en-US" w:eastAsia="zh-CN"/>
        </w:rPr>
        <w:t>6.</w:t>
      </w:r>
      <w:r>
        <w:rPr>
          <w:rFonts w:hint="eastAsia"/>
          <w:highlight w:val="none"/>
          <w:lang w:val="en-US" w:eastAsia="zh-CN"/>
        </w:rPr>
        <w:t>运营管理</w:t>
      </w:r>
    </w:p>
    <w:p>
      <w:pPr>
        <w:numPr>
          <w:ilvl w:val="0"/>
          <w:numId w:val="0"/>
        </w:numPr>
        <w:ind w:firstLine="640" w:firstLineChars="200"/>
        <w:rPr>
          <w:rFonts w:hint="eastAsia"/>
          <w:lang w:val="en-US" w:eastAsia="zh-CN"/>
        </w:rPr>
      </w:pPr>
      <w:r>
        <w:rPr>
          <w:rFonts w:hint="eastAsia"/>
          <w:lang w:val="en-US" w:eastAsia="zh-CN"/>
        </w:rPr>
        <w:t>机构设置明确了运营管理团队的构成和职责分工，这是确保社区高效运营的组织保障。运营管理内容形成了全面的运营管理框架。运营管理机制部分旨在建立一个动态的、持续优化的管理闭环，确保社区的长期发展和活力。</w:t>
      </w:r>
    </w:p>
    <w:p>
      <w:pPr>
        <w:numPr>
          <w:ilvl w:val="0"/>
          <w:numId w:val="0"/>
        </w:numPr>
        <w:ind w:firstLine="640" w:firstLineChars="200"/>
        <w:rPr>
          <w:rFonts w:hint="default"/>
          <w:lang w:val="en-US" w:eastAsia="zh-CN"/>
        </w:rPr>
      </w:pPr>
      <w:r>
        <w:rPr>
          <w:rFonts w:hint="eastAsia"/>
          <w:lang w:val="en-US" w:eastAsia="zh-CN"/>
        </w:rPr>
        <w:t>机构设置</w:t>
      </w:r>
      <w:r>
        <w:rPr>
          <w:rFonts w:hint="default"/>
          <w:lang w:val="en-US" w:eastAsia="zh-CN"/>
        </w:rPr>
        <w:t>：</w:t>
      </w:r>
      <w:r>
        <w:rPr>
          <w:rFonts w:hint="eastAsia"/>
          <w:lang w:val="en-US" w:eastAsia="zh-CN"/>
        </w:rPr>
        <w:t>建议设立专业运营管理团队，配备项目管理、市场营销、财务管理、技术支持、客户服务等专业人员，明确各岗位职责</w:t>
      </w:r>
      <w:r>
        <w:rPr>
          <w:rFonts w:hint="default"/>
          <w:lang w:val="en-US" w:eastAsia="zh-CN"/>
        </w:rPr>
        <w:t>。</w:t>
      </w:r>
    </w:p>
    <w:p>
      <w:pPr>
        <w:numPr>
          <w:ilvl w:val="0"/>
          <w:numId w:val="0"/>
        </w:numPr>
        <w:ind w:firstLine="640" w:firstLineChars="200"/>
        <w:rPr>
          <w:rFonts w:hint="default"/>
          <w:lang w:val="en-US" w:eastAsia="zh-CN"/>
        </w:rPr>
      </w:pPr>
      <w:r>
        <w:rPr>
          <w:rFonts w:hint="eastAsia"/>
          <w:lang w:val="en-US" w:eastAsia="zh-CN"/>
        </w:rPr>
        <w:t>运营管理内容</w:t>
      </w:r>
      <w:r>
        <w:rPr>
          <w:rFonts w:hint="default"/>
          <w:lang w:val="en-US" w:eastAsia="zh-CN"/>
        </w:rPr>
        <w:t>：</w:t>
      </w:r>
      <w:r>
        <w:rPr>
          <w:rFonts w:hint="eastAsia"/>
          <w:lang w:val="en-US" w:eastAsia="zh-CN"/>
        </w:rPr>
        <w:t>建议制定并执行运营管理战略计划，规范创客入驻管理，提供项目孵化服务，实施公共设施维护与管理，加强安全与秩序管理，开展社区文化建设与品牌推广，进行数据统计与信息管理，全面提升社区运营管理水平</w:t>
      </w:r>
      <w:r>
        <w:rPr>
          <w:rFonts w:hint="default"/>
          <w:lang w:val="en-US" w:eastAsia="zh-CN"/>
        </w:rPr>
        <w:t>。</w:t>
      </w:r>
    </w:p>
    <w:p>
      <w:pPr>
        <w:numPr>
          <w:ilvl w:val="0"/>
          <w:numId w:val="0"/>
        </w:numPr>
        <w:ind w:firstLine="640" w:firstLineChars="200"/>
        <w:rPr>
          <w:rFonts w:hint="default"/>
          <w:lang w:val="en-US" w:eastAsia="zh-CN"/>
        </w:rPr>
      </w:pPr>
      <w:r>
        <w:rPr>
          <w:rFonts w:hint="eastAsia"/>
          <w:lang w:val="en-US" w:eastAsia="zh-CN"/>
        </w:rPr>
        <w:t>运营管理机制：建议建立内部监督及外部监督机制，及时收集处理反馈意见，制定科学合理的运营管理评估指标体系，定期评估运营效果。建立反馈与改进机制，形成闭环管理，持续优化服务。构建合作与创新机制，加强与外部机构合作，鼓励创新思维与多元合作，推动社区创新发展。</w:t>
      </w:r>
    </w:p>
    <w:p>
      <w:pPr>
        <w:pStyle w:val="2"/>
        <w:numPr>
          <w:ilvl w:val="0"/>
          <w:numId w:val="2"/>
        </w:numPr>
        <w:rPr>
          <w:rFonts w:hint="eastAsia"/>
          <w:b w:val="0"/>
          <w:bCs/>
          <w:highlight w:val="none"/>
          <w:lang w:val="en-US" w:eastAsia="zh-CN"/>
        </w:rPr>
      </w:pPr>
      <w:r>
        <w:rPr>
          <w:rFonts w:hint="eastAsia"/>
          <w:b w:val="0"/>
          <w:bCs/>
          <w:highlight w:val="none"/>
          <w:lang w:val="en-US" w:eastAsia="zh-CN"/>
        </w:rPr>
        <w:t>主要条款的说明</w:t>
      </w:r>
    </w:p>
    <w:p>
      <w:pPr>
        <w:numPr>
          <w:ilvl w:val="0"/>
          <w:numId w:val="0"/>
        </w:numPr>
        <w:ind w:firstLine="640" w:firstLineChars="200"/>
        <w:rPr>
          <w:rFonts w:hint="default"/>
          <w:lang w:val="en-US" w:eastAsia="zh-CN"/>
        </w:rPr>
      </w:pPr>
      <w:r>
        <w:rPr>
          <w:rFonts w:hint="eastAsia"/>
          <w:lang w:val="en-US" w:eastAsia="zh-CN"/>
        </w:rPr>
        <w:t>无。</w:t>
      </w:r>
    </w:p>
    <w:bookmarkEnd w:id="7"/>
    <w:bookmarkEnd w:id="8"/>
    <w:bookmarkEnd w:id="9"/>
    <w:bookmarkEnd w:id="10"/>
    <w:p>
      <w:pPr>
        <w:pStyle w:val="2"/>
        <w:rPr>
          <w:rFonts w:hint="eastAsia"/>
          <w:b w:val="0"/>
          <w:bCs/>
          <w:highlight w:val="none"/>
          <w:lang w:val="en-US" w:eastAsia="zh-CN"/>
        </w:rPr>
      </w:pPr>
      <w:r>
        <w:rPr>
          <w:rFonts w:hint="eastAsia"/>
          <w:b w:val="0"/>
          <w:bCs/>
          <w:highlight w:val="none"/>
          <w:lang w:val="en-US" w:eastAsia="zh-CN"/>
        </w:rPr>
        <w:t>五、是否涉及专利等知识产权问题</w:t>
      </w:r>
    </w:p>
    <w:p>
      <w:pPr>
        <w:rPr>
          <w:rFonts w:hint="default"/>
          <w:highlight w:val="none"/>
          <w:lang w:val="en-US" w:eastAsia="zh-CN"/>
        </w:rPr>
      </w:pPr>
      <w:r>
        <w:rPr>
          <w:rFonts w:hint="eastAsia"/>
          <w:highlight w:val="none"/>
          <w:lang w:val="en-US" w:eastAsia="zh-CN"/>
        </w:rPr>
        <w:t>本文件未涉及专利等知识产权问题。</w:t>
      </w:r>
    </w:p>
    <w:p>
      <w:pPr>
        <w:pStyle w:val="2"/>
        <w:rPr>
          <w:rFonts w:hint="eastAsia"/>
          <w:b w:val="0"/>
          <w:bCs/>
          <w:highlight w:val="none"/>
          <w:lang w:val="en-US" w:eastAsia="zh-CN"/>
        </w:rPr>
      </w:pPr>
      <w:r>
        <w:rPr>
          <w:rFonts w:hint="eastAsia"/>
          <w:b w:val="0"/>
          <w:bCs/>
          <w:highlight w:val="none"/>
          <w:lang w:val="en-US" w:eastAsia="zh-CN"/>
        </w:rPr>
        <w:t>六、重大意见分歧的处理依据和结果</w:t>
      </w:r>
    </w:p>
    <w:p>
      <w:pPr>
        <w:rPr>
          <w:rFonts w:hint="default"/>
          <w:highlight w:val="none"/>
          <w:lang w:val="en-US" w:eastAsia="zh-CN"/>
        </w:rPr>
      </w:pPr>
      <w:r>
        <w:rPr>
          <w:rFonts w:hint="eastAsia"/>
          <w:highlight w:val="none"/>
          <w:lang w:val="en-US" w:eastAsia="zh-CN"/>
        </w:rPr>
        <w:t>本文件无重大分歧意见。</w:t>
      </w:r>
    </w:p>
    <w:p>
      <w:pPr>
        <w:pStyle w:val="2"/>
        <w:rPr>
          <w:rFonts w:hint="eastAsia"/>
          <w:b w:val="0"/>
          <w:bCs/>
          <w:highlight w:val="none"/>
          <w:lang w:val="en-US" w:eastAsia="zh-CN"/>
        </w:rPr>
      </w:pPr>
      <w:r>
        <w:rPr>
          <w:rFonts w:hint="eastAsia"/>
          <w:b w:val="0"/>
          <w:bCs/>
          <w:highlight w:val="none"/>
          <w:lang w:val="en-US" w:eastAsia="zh-CN"/>
        </w:rPr>
        <w:t>七、实施标准的措施建议</w:t>
      </w:r>
    </w:p>
    <w:p>
      <w:pPr>
        <w:rPr>
          <w:rFonts w:hint="default"/>
          <w:highlight w:val="none"/>
          <w:lang w:val="en-US" w:eastAsia="zh-CN"/>
        </w:rPr>
      </w:pPr>
      <w:r>
        <w:rPr>
          <w:rFonts w:hint="default"/>
          <w:highlight w:val="none"/>
          <w:lang w:val="en-US" w:eastAsia="zh-CN"/>
        </w:rPr>
        <w:t>开展行业内标准宣贯，召集相关行业内技术人员进行系统性标准宣贯培训。</w:t>
      </w:r>
    </w:p>
    <w:p>
      <w:pPr>
        <w:rPr>
          <w:rFonts w:hint="eastAsia"/>
          <w:highlight w:val="none"/>
          <w:lang w:val="en-US" w:eastAsia="zh-CN"/>
        </w:rPr>
      </w:pPr>
      <w:r>
        <w:rPr>
          <w:rFonts w:hint="default"/>
          <w:highlight w:val="none"/>
          <w:lang w:val="en-US" w:eastAsia="zh-CN"/>
        </w:rPr>
        <w:t>加强不同层次相关技术人员之间的交流沟通，以期尽早实现标准的无缝执行。</w:t>
      </w:r>
    </w:p>
    <w:p>
      <w:pPr>
        <w:pStyle w:val="2"/>
        <w:rPr>
          <w:rFonts w:hint="eastAsia"/>
          <w:b w:val="0"/>
          <w:bCs/>
          <w:highlight w:val="none"/>
          <w:lang w:val="en-US" w:eastAsia="zh-CN"/>
        </w:rPr>
      </w:pPr>
      <w:r>
        <w:rPr>
          <w:rFonts w:hint="eastAsia"/>
          <w:b w:val="0"/>
          <w:bCs/>
          <w:highlight w:val="none"/>
          <w:lang w:val="en-US" w:eastAsia="zh-CN"/>
        </w:rPr>
        <w:t>八、其他需要说明的事项</w:t>
      </w:r>
    </w:p>
    <w:p>
      <w:pPr>
        <w:rPr>
          <w:rFonts w:hint="default"/>
          <w:sz w:val="32"/>
          <w:szCs w:val="32"/>
          <w:highlight w:val="none"/>
          <w:lang w:val="en-US" w:eastAsia="zh-CN"/>
        </w:rPr>
      </w:pPr>
      <w:r>
        <w:rPr>
          <w:rFonts w:hint="eastAsia"/>
          <w:highlight w:val="none"/>
          <w:lang w:val="en-US" w:eastAsia="zh-CN"/>
        </w:rPr>
        <w:t>无。</w:t>
      </w:r>
    </w:p>
    <w:sectPr>
      <w:footerReference r:id="rId5" w:type="default"/>
      <w:pgSz w:w="11906" w:h="16838"/>
      <w:pgMar w:top="1361" w:right="1531" w:bottom="1701" w:left="1531"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仿宋_GB2312" w:hAnsi="仿宋_GB2312" w:eastAsia="仿宋_GB2312" w:cs="仿宋_GB2312"/>
        <w:kern w:val="2"/>
        <w:sz w:val="18"/>
        <w:szCs w:val="32"/>
        <w:lang w:val="en-US" w:eastAsia="zh-CN" w:bidi="ar-SA"/>
      </w:rPr>
      <w:pict>
        <v:rect id="文本框 1"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ind w:left="0" w:leftChars="0" w:firstLine="0" w:firstLineChars="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cs="宋体"/>
                    <w:sz w:val="28"/>
                    <w:szCs w:val="28"/>
                    <w:lang w:eastAsia="zh-CN"/>
                  </w:rPr>
                  <w:t>—</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B3BD5"/>
    <w:multiLevelType w:val="singleLevel"/>
    <w:tmpl w:val="A63B3BD5"/>
    <w:lvl w:ilvl="0" w:tentative="0">
      <w:start w:val="3"/>
      <w:numFmt w:val="chineseCounting"/>
      <w:suff w:val="nothing"/>
      <w:lvlText w:val="（%1）"/>
      <w:lvlJc w:val="left"/>
      <w:rPr>
        <w:rFonts w:hint="eastAsia"/>
      </w:rPr>
    </w:lvl>
  </w:abstractNum>
  <w:abstractNum w:abstractNumId="1">
    <w:nsid w:val="66A626EC"/>
    <w:multiLevelType w:val="singleLevel"/>
    <w:tmpl w:val="66A626E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NjZjU3NTExNDY3NTkwMDhlOTg2OWQ5NzVhNDM2ZjgifQ=="/>
    <w:docVar w:name="KSO_WPS_MARK_KEY" w:val="b0a7a877-5b3e-421d-846f-46e2eb533909"/>
  </w:docVars>
  <w:rsids>
    <w:rsidRoot w:val="00000000"/>
    <w:rsid w:val="004F7DAA"/>
    <w:rsid w:val="005729AB"/>
    <w:rsid w:val="006B4910"/>
    <w:rsid w:val="00A25F6A"/>
    <w:rsid w:val="00E34F65"/>
    <w:rsid w:val="012C687B"/>
    <w:rsid w:val="016D3751"/>
    <w:rsid w:val="01A963CB"/>
    <w:rsid w:val="01FB40D3"/>
    <w:rsid w:val="02AE52AA"/>
    <w:rsid w:val="04C84FD1"/>
    <w:rsid w:val="0588045F"/>
    <w:rsid w:val="05B41169"/>
    <w:rsid w:val="062A5F28"/>
    <w:rsid w:val="064E7C69"/>
    <w:rsid w:val="07455658"/>
    <w:rsid w:val="07DF3719"/>
    <w:rsid w:val="080400B9"/>
    <w:rsid w:val="087C626F"/>
    <w:rsid w:val="087D254D"/>
    <w:rsid w:val="08B10965"/>
    <w:rsid w:val="08DB5CDE"/>
    <w:rsid w:val="0923693C"/>
    <w:rsid w:val="0987510A"/>
    <w:rsid w:val="09907BA7"/>
    <w:rsid w:val="09C81550"/>
    <w:rsid w:val="0A1B7015"/>
    <w:rsid w:val="0A830604"/>
    <w:rsid w:val="0BCB2D68"/>
    <w:rsid w:val="0BD71032"/>
    <w:rsid w:val="0C7A3C2B"/>
    <w:rsid w:val="0CDF6C9B"/>
    <w:rsid w:val="0D195E73"/>
    <w:rsid w:val="0D746673"/>
    <w:rsid w:val="0D782A7C"/>
    <w:rsid w:val="0DEC6564"/>
    <w:rsid w:val="0E471C2E"/>
    <w:rsid w:val="0E8153D5"/>
    <w:rsid w:val="0F7B7826"/>
    <w:rsid w:val="0F7D700C"/>
    <w:rsid w:val="107C683B"/>
    <w:rsid w:val="10865322"/>
    <w:rsid w:val="11025DC9"/>
    <w:rsid w:val="11196957"/>
    <w:rsid w:val="114B285F"/>
    <w:rsid w:val="11A41BEA"/>
    <w:rsid w:val="11AA43F7"/>
    <w:rsid w:val="11AA52F3"/>
    <w:rsid w:val="12394ECF"/>
    <w:rsid w:val="130D2195"/>
    <w:rsid w:val="139B18A4"/>
    <w:rsid w:val="139F5206"/>
    <w:rsid w:val="13F775D0"/>
    <w:rsid w:val="14E43CE4"/>
    <w:rsid w:val="150F0E42"/>
    <w:rsid w:val="15295EDC"/>
    <w:rsid w:val="16246B3C"/>
    <w:rsid w:val="16BF1E6B"/>
    <w:rsid w:val="16DF100A"/>
    <w:rsid w:val="171F08DF"/>
    <w:rsid w:val="17B249C6"/>
    <w:rsid w:val="180F5ACD"/>
    <w:rsid w:val="18905187"/>
    <w:rsid w:val="18AD0BEF"/>
    <w:rsid w:val="197935A5"/>
    <w:rsid w:val="1ADE08E4"/>
    <w:rsid w:val="1AEB6F83"/>
    <w:rsid w:val="1B446693"/>
    <w:rsid w:val="1BCF5946"/>
    <w:rsid w:val="1C084B04"/>
    <w:rsid w:val="1D763922"/>
    <w:rsid w:val="1E432BE9"/>
    <w:rsid w:val="1E4B0110"/>
    <w:rsid w:val="1EF96F87"/>
    <w:rsid w:val="1F9F4209"/>
    <w:rsid w:val="1FB44D03"/>
    <w:rsid w:val="1FC04BD4"/>
    <w:rsid w:val="2095417C"/>
    <w:rsid w:val="209727AB"/>
    <w:rsid w:val="20AC5329"/>
    <w:rsid w:val="21413A0B"/>
    <w:rsid w:val="22284740"/>
    <w:rsid w:val="22432189"/>
    <w:rsid w:val="23CD5ED7"/>
    <w:rsid w:val="24486CAA"/>
    <w:rsid w:val="25B87788"/>
    <w:rsid w:val="25F01544"/>
    <w:rsid w:val="26391189"/>
    <w:rsid w:val="26C02DAF"/>
    <w:rsid w:val="27463A74"/>
    <w:rsid w:val="27B77B0C"/>
    <w:rsid w:val="27DF87BA"/>
    <w:rsid w:val="28280107"/>
    <w:rsid w:val="283B61FB"/>
    <w:rsid w:val="284303FE"/>
    <w:rsid w:val="28485D0C"/>
    <w:rsid w:val="29116BF7"/>
    <w:rsid w:val="2A3C57A4"/>
    <w:rsid w:val="2A6B144E"/>
    <w:rsid w:val="2A760814"/>
    <w:rsid w:val="2A7A1CA0"/>
    <w:rsid w:val="2ADE1DEA"/>
    <w:rsid w:val="2B821522"/>
    <w:rsid w:val="2CF6554C"/>
    <w:rsid w:val="2D7F3612"/>
    <w:rsid w:val="2DF16174"/>
    <w:rsid w:val="2E464143"/>
    <w:rsid w:val="2F170D86"/>
    <w:rsid w:val="30000315"/>
    <w:rsid w:val="317C04DD"/>
    <w:rsid w:val="31B47F8A"/>
    <w:rsid w:val="31CF4AFD"/>
    <w:rsid w:val="3301680B"/>
    <w:rsid w:val="332B3B2E"/>
    <w:rsid w:val="33DB7439"/>
    <w:rsid w:val="34456286"/>
    <w:rsid w:val="3460475D"/>
    <w:rsid w:val="349E45CD"/>
    <w:rsid w:val="34B31612"/>
    <w:rsid w:val="3575771D"/>
    <w:rsid w:val="36073B1E"/>
    <w:rsid w:val="3648003E"/>
    <w:rsid w:val="37C64260"/>
    <w:rsid w:val="388C65B4"/>
    <w:rsid w:val="38C518AF"/>
    <w:rsid w:val="38F675FB"/>
    <w:rsid w:val="39B83707"/>
    <w:rsid w:val="3A165D1C"/>
    <w:rsid w:val="3A4B4B43"/>
    <w:rsid w:val="3B204965"/>
    <w:rsid w:val="3BA33B12"/>
    <w:rsid w:val="3C8764C7"/>
    <w:rsid w:val="3C9D0170"/>
    <w:rsid w:val="3D416AE1"/>
    <w:rsid w:val="3D8A0C4E"/>
    <w:rsid w:val="3E1F62C0"/>
    <w:rsid w:val="3EE92BAC"/>
    <w:rsid w:val="3F8368B5"/>
    <w:rsid w:val="3F88629F"/>
    <w:rsid w:val="3F952F70"/>
    <w:rsid w:val="3FA227B9"/>
    <w:rsid w:val="40493E32"/>
    <w:rsid w:val="40FE2CBD"/>
    <w:rsid w:val="417E6168"/>
    <w:rsid w:val="41D06132"/>
    <w:rsid w:val="41E3704A"/>
    <w:rsid w:val="4211569E"/>
    <w:rsid w:val="438D657A"/>
    <w:rsid w:val="449E311E"/>
    <w:rsid w:val="451B0A52"/>
    <w:rsid w:val="45BA3ABD"/>
    <w:rsid w:val="45D33C42"/>
    <w:rsid w:val="46827EEC"/>
    <w:rsid w:val="46A06CE7"/>
    <w:rsid w:val="47CB4301"/>
    <w:rsid w:val="47F37EB8"/>
    <w:rsid w:val="48244963"/>
    <w:rsid w:val="486B71C3"/>
    <w:rsid w:val="48781238"/>
    <w:rsid w:val="49070A43"/>
    <w:rsid w:val="49FB3D1E"/>
    <w:rsid w:val="4A0C5AEA"/>
    <w:rsid w:val="4A534877"/>
    <w:rsid w:val="4AAE57F4"/>
    <w:rsid w:val="4AC505E1"/>
    <w:rsid w:val="4ACC796A"/>
    <w:rsid w:val="4ADF76BB"/>
    <w:rsid w:val="4AEC002A"/>
    <w:rsid w:val="4B045373"/>
    <w:rsid w:val="4BBD05CA"/>
    <w:rsid w:val="4C786F63"/>
    <w:rsid w:val="4C90002D"/>
    <w:rsid w:val="4D1B7C7F"/>
    <w:rsid w:val="4E942271"/>
    <w:rsid w:val="4EFB1622"/>
    <w:rsid w:val="4F5825D1"/>
    <w:rsid w:val="4FCA6856"/>
    <w:rsid w:val="50346C81"/>
    <w:rsid w:val="5050242A"/>
    <w:rsid w:val="50E67EC9"/>
    <w:rsid w:val="52F228DF"/>
    <w:rsid w:val="535D7D24"/>
    <w:rsid w:val="539F2640"/>
    <w:rsid w:val="55C11DCD"/>
    <w:rsid w:val="560B1CAC"/>
    <w:rsid w:val="5709609B"/>
    <w:rsid w:val="57D71570"/>
    <w:rsid w:val="586505D1"/>
    <w:rsid w:val="58A04B59"/>
    <w:rsid w:val="59192EA9"/>
    <w:rsid w:val="59462FFB"/>
    <w:rsid w:val="596308D5"/>
    <w:rsid w:val="597E1D61"/>
    <w:rsid w:val="59A23ACD"/>
    <w:rsid w:val="59AD2F3C"/>
    <w:rsid w:val="5A2F7491"/>
    <w:rsid w:val="5C072CF2"/>
    <w:rsid w:val="5C2D788A"/>
    <w:rsid w:val="5DD07337"/>
    <w:rsid w:val="5DE80963"/>
    <w:rsid w:val="5E074847"/>
    <w:rsid w:val="5E514DC3"/>
    <w:rsid w:val="5E9869CB"/>
    <w:rsid w:val="5EEA7FE4"/>
    <w:rsid w:val="5F50462F"/>
    <w:rsid w:val="5F7F4E90"/>
    <w:rsid w:val="5F8737DB"/>
    <w:rsid w:val="5F906BA5"/>
    <w:rsid w:val="5FF92B75"/>
    <w:rsid w:val="60017D91"/>
    <w:rsid w:val="6071554C"/>
    <w:rsid w:val="60C63D43"/>
    <w:rsid w:val="615961C7"/>
    <w:rsid w:val="641B2C86"/>
    <w:rsid w:val="6470717E"/>
    <w:rsid w:val="64867564"/>
    <w:rsid w:val="65597DAE"/>
    <w:rsid w:val="65CD28ED"/>
    <w:rsid w:val="66447CF7"/>
    <w:rsid w:val="66476443"/>
    <w:rsid w:val="66CB6A8A"/>
    <w:rsid w:val="67115625"/>
    <w:rsid w:val="67CF1ADA"/>
    <w:rsid w:val="68A24B85"/>
    <w:rsid w:val="68ED6858"/>
    <w:rsid w:val="698B7C7D"/>
    <w:rsid w:val="6A1D7EE0"/>
    <w:rsid w:val="6A5B64F1"/>
    <w:rsid w:val="6AB10EE2"/>
    <w:rsid w:val="6AFA1213"/>
    <w:rsid w:val="6E5F3888"/>
    <w:rsid w:val="6E8C1F0A"/>
    <w:rsid w:val="6F68302E"/>
    <w:rsid w:val="6FFE01C5"/>
    <w:rsid w:val="700B51B0"/>
    <w:rsid w:val="71F414DA"/>
    <w:rsid w:val="720157FC"/>
    <w:rsid w:val="72987CAE"/>
    <w:rsid w:val="72C35221"/>
    <w:rsid w:val="730B4C41"/>
    <w:rsid w:val="73A512E1"/>
    <w:rsid w:val="73EC173C"/>
    <w:rsid w:val="745F4E81"/>
    <w:rsid w:val="752E2EA3"/>
    <w:rsid w:val="75602650"/>
    <w:rsid w:val="75AD0232"/>
    <w:rsid w:val="7645540D"/>
    <w:rsid w:val="764F77F4"/>
    <w:rsid w:val="768B35A7"/>
    <w:rsid w:val="76B35FE7"/>
    <w:rsid w:val="76B86319"/>
    <w:rsid w:val="77FC59B0"/>
    <w:rsid w:val="78812048"/>
    <w:rsid w:val="78E22813"/>
    <w:rsid w:val="790939D1"/>
    <w:rsid w:val="79283BD5"/>
    <w:rsid w:val="79E76FD3"/>
    <w:rsid w:val="7A5852A5"/>
    <w:rsid w:val="7B41128B"/>
    <w:rsid w:val="7B7E59C3"/>
    <w:rsid w:val="7C8066F3"/>
    <w:rsid w:val="7D4F6073"/>
    <w:rsid w:val="7DAD768B"/>
    <w:rsid w:val="7DF719C2"/>
    <w:rsid w:val="7E3821EA"/>
    <w:rsid w:val="7E925207"/>
    <w:rsid w:val="7ED50A27"/>
    <w:rsid w:val="7FA219A9"/>
    <w:rsid w:val="BFEF9442"/>
    <w:rsid w:val="DE385350"/>
    <w:rsid w:val="DF3E39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Autospacing="0" w:afterAutospacing="0" w:line="560" w:lineRule="exact"/>
      <w:ind w:firstLine="800" w:firstLineChars="200"/>
      <w:outlineLvl w:val="0"/>
    </w:pPr>
    <w:rPr>
      <w:rFonts w:ascii="黑体" w:hAnsi="黑体" w:eastAsia="黑体" w:cs="黑体"/>
      <w:b/>
      <w:kern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楷体_GB2312" w:hAnsi="楷体_GB2312" w:eastAsia="楷体_GB2312" w:cs="楷体_GB2312"/>
      <w:b/>
    </w:rPr>
  </w:style>
  <w:style w:type="paragraph" w:styleId="4">
    <w:name w:val="heading 3"/>
    <w:basedOn w:val="1"/>
    <w:next w:val="1"/>
    <w:unhideWhenUsed/>
    <w:qFormat/>
    <w:uiPriority w:val="0"/>
    <w:pPr>
      <w:spacing w:before="0" w:beforeAutospacing="0" w:after="0" w:afterAutospacing="0"/>
      <w:jc w:val="left"/>
      <w:outlineLvl w:val="2"/>
    </w:pPr>
    <w:rPr>
      <w:rFonts w:hint="eastAsia" w:ascii="仿宋_GB2312" w:hAnsi="仿宋_GB2312" w:eastAsia="仿宋_GB2312" w:cs="仿宋_GB2312"/>
      <w:b/>
      <w:bCs/>
      <w:kern w:val="0"/>
      <w:sz w:val="32"/>
      <w:szCs w:val="32"/>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4">
    <w:name w:val="Default Paragraph Font"/>
    <w:semiHidden/>
    <w:qFormat/>
    <w:uiPriority w:val="0"/>
  </w:style>
  <w:style w:type="table" w:default="1" w:styleId="12">
    <w:name w:val="Normal Table"/>
    <w:semiHidden/>
    <w:qFormat/>
    <w:uiPriority w:val="0"/>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qFormat/>
    <w:uiPriority w:val="99"/>
    <w:rPr>
      <w:rFonts w:ascii="宋体" w:hAnsi="Times New Roman" w:eastAsia="宋体"/>
      <w:color w:val="auto"/>
      <w:spacing w:val="0"/>
      <w:w w:val="100"/>
      <w:position w:val="0"/>
      <w:sz w:val="21"/>
      <w:u w:val="none"/>
    </w:rPr>
  </w:style>
  <w:style w:type="paragraph" w:customStyle="1" w:styleId="17">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标准文件_段 Char"/>
    <w:basedOn w:val="14"/>
    <w:qFormat/>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3395</Words>
  <Characters>3543</Characters>
  <Lines>0</Lines>
  <Paragraphs>0</Paragraphs>
  <TotalTime>1</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2021-10-22T17:38:00Z</dcterms:created>
  <dc:creator>xiemiaoqi</dc:creator>
  <cp:lastModifiedBy>sc23</cp:lastModifiedBy>
  <cp:lastPrinted>2022-08-17T21:04:00Z</cp:lastPrinted>
  <dcterms:modified xsi:type="dcterms:W3CDTF">2025-05-22T14:43:39Z</dcterms:modified>
  <dc:title>《乡村创客社区要素建设指南》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D6154425643A4ED9AF8ED673492D6BDE_13</vt:lpwstr>
  </property>
  <property fmtid="{D5CDD505-2E9C-101B-9397-08002B2CF9AE}" pid="4" name="KSOTemplateDocerSaveRecord">
    <vt:lpwstr>eyJoZGlkIjoiODk5ZmQ4NzEzZDA2ZTVlNTBiNzk4MzAzMTAyNWJjOWEiLCJ1c2VySWQiOiIxMTAwNzY3MzEyIn0=</vt:lpwstr>
  </property>
</Properties>
</file>