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简体" w:cs="Times New Roman"/>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简体" w:cs="Times New Roman"/>
          <w:color w:val="auto"/>
          <w:spacing w:val="0"/>
          <w:sz w:val="44"/>
          <w:szCs w:val="44"/>
          <w:lang w:val="en-US" w:eastAsia="zh-CN"/>
        </w:rPr>
      </w:pPr>
    </w:p>
    <w:p>
      <w:pPr>
        <w:spacing w:line="580" w:lineRule="exact"/>
        <w:jc w:val="right"/>
        <w:rPr>
          <w:rFonts w:hint="eastAsia" w:ascii="仿宋_GB2312" w:hAnsi="仿宋_GB2312" w:eastAsia="仿宋_GB2312" w:cs="仿宋_GB2312"/>
        </w:rPr>
      </w:pPr>
      <w:r>
        <w:rPr>
          <w:rFonts w:hint="eastAsia" w:ascii="仿宋_GB2312" w:hAnsi="仿宋_GB2312" w:eastAsia="仿宋_GB2312" w:cs="仿宋_GB2312"/>
        </w:rPr>
        <w:t>和府办函〔</w:t>
      </w:r>
      <w:r>
        <w:rPr>
          <w:rFonts w:hint="default" w:ascii="Times New Roman" w:hAnsi="Times New Roman" w:cs="Times New Roman"/>
        </w:rPr>
        <w:t>2024</w:t>
      </w:r>
      <w:r>
        <w:rPr>
          <w:rFonts w:hint="eastAsia" w:ascii="仿宋_GB2312" w:hAnsi="仿宋_GB2312" w:eastAsia="仿宋_GB2312" w:cs="仿宋_GB2312"/>
        </w:rPr>
        <w:t>〕</w:t>
      </w:r>
      <w:r>
        <w:rPr>
          <w:rFonts w:hint="eastAsia" w:cs="Times New Roman"/>
          <w:lang w:val="en-US" w:eastAsia="zh-CN"/>
        </w:rPr>
        <w:t>13</w:t>
      </w:r>
      <w:r>
        <w:rPr>
          <w:rFonts w:hint="eastAsia" w:ascii="仿宋_GB2312" w:hAnsi="仿宋_GB2312" w:eastAsia="仿宋_GB2312" w:cs="仿宋_GB2312"/>
        </w:rPr>
        <w:t>号</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简体" w:cs="Times New Roman"/>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default" w:ascii="Times New Roman" w:hAnsi="Times New Roman" w:eastAsia="方正小标宋简体" w:cs="Times New Roman"/>
          <w:color w:val="auto"/>
          <w:spacing w:val="0"/>
          <w:sz w:val="44"/>
          <w:szCs w:val="44"/>
          <w:lang w:val="en-US" w:eastAsia="zh-CN"/>
        </w:rPr>
      </w:pPr>
      <w:r>
        <w:rPr>
          <w:rFonts w:hint="default" w:ascii="Times New Roman" w:hAnsi="Times New Roman" w:eastAsia="方正小标宋简体" w:cs="Times New Roman"/>
          <w:color w:val="auto"/>
          <w:spacing w:val="0"/>
          <w:sz w:val="44"/>
          <w:szCs w:val="44"/>
          <w:lang w:val="en-US" w:eastAsia="zh-CN"/>
        </w:rPr>
        <w:t>和平县人民政府办公室关于印发《和平县</w:t>
      </w: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default" w:ascii="Times New Roman" w:hAnsi="Times New Roman" w:eastAsia="方正小标宋简体" w:cs="Times New Roman"/>
          <w:color w:val="auto"/>
          <w:spacing w:val="0"/>
          <w:sz w:val="44"/>
          <w:szCs w:val="44"/>
          <w:lang w:val="en-US" w:eastAsia="zh-CN"/>
        </w:rPr>
      </w:pPr>
      <w:r>
        <w:rPr>
          <w:rFonts w:hint="default" w:ascii="Times New Roman" w:hAnsi="Times New Roman" w:eastAsia="方正小标宋简体" w:cs="Times New Roman"/>
          <w:color w:val="auto"/>
          <w:spacing w:val="0"/>
          <w:sz w:val="44"/>
          <w:szCs w:val="44"/>
          <w:lang w:val="en-US" w:eastAsia="zh-CN"/>
        </w:rPr>
        <w:t>新丰江水库水生态环境保护</w:t>
      </w: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default" w:ascii="Times New Roman" w:hAnsi="Times New Roman" w:eastAsia="方正小标宋简体" w:cs="Times New Roman"/>
          <w:color w:val="auto"/>
          <w:spacing w:val="0"/>
          <w:sz w:val="44"/>
          <w:szCs w:val="44"/>
          <w:lang w:val="en-US" w:eastAsia="zh-CN"/>
        </w:rPr>
      </w:pPr>
      <w:r>
        <w:rPr>
          <w:rFonts w:hint="default" w:ascii="Times New Roman" w:hAnsi="Times New Roman" w:eastAsia="方正小标宋简体" w:cs="Times New Roman"/>
          <w:color w:val="auto"/>
          <w:spacing w:val="0"/>
          <w:sz w:val="44"/>
          <w:szCs w:val="44"/>
          <w:lang w:val="en-US" w:eastAsia="zh-CN"/>
        </w:rPr>
        <w:t>年度实施方案》的通知</w:t>
      </w:r>
    </w:p>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default" w:ascii="Times New Roman" w:hAnsi="Times New Roman" w:eastAsia="仿宋_GB2312" w:cs="Times New Roman"/>
          <w:color w:val="auto"/>
          <w:spacing w:val="6"/>
          <w:sz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default" w:ascii="Times New Roman" w:hAnsi="Times New Roman" w:eastAsia="仿宋_GB2312" w:cs="Times New Roman"/>
          <w:color w:val="auto"/>
          <w:spacing w:val="6"/>
          <w:sz w:val="32"/>
          <w:lang w:val="en-US" w:eastAsia="zh-CN"/>
        </w:rPr>
      </w:pPr>
      <w:r>
        <w:rPr>
          <w:rFonts w:hint="eastAsia" w:eastAsia="仿宋_GB2312" w:cs="Times New Roman"/>
          <w:color w:val="auto"/>
          <w:spacing w:val="6"/>
          <w:sz w:val="32"/>
          <w:lang w:val="en-US" w:eastAsia="zh-CN"/>
        </w:rPr>
        <w:t>各镇人民政府，县府直属有关单位</w:t>
      </w:r>
      <w:r>
        <w:rPr>
          <w:rFonts w:hint="default" w:ascii="Times New Roman" w:hAnsi="Times New Roman" w:eastAsia="仿宋_GB2312" w:cs="Times New Roman"/>
          <w:color w:val="auto"/>
          <w:spacing w:val="6"/>
          <w:sz w:val="32"/>
          <w:lang w:val="en-US"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56" w:firstLineChars="200"/>
        <w:jc w:val="both"/>
        <w:textAlignment w:val="auto"/>
        <w:rPr>
          <w:rFonts w:hint="default" w:ascii="Times New Roman" w:hAnsi="Times New Roman" w:eastAsia="仿宋_GB2312" w:cs="Times New Roman"/>
          <w:color w:val="auto"/>
          <w:spacing w:val="6"/>
          <w:sz w:val="32"/>
          <w:lang w:val="en-US" w:eastAsia="zh-CN"/>
        </w:rPr>
      </w:pPr>
      <w:r>
        <w:rPr>
          <w:rFonts w:hint="default" w:ascii="Times New Roman" w:hAnsi="Times New Roman" w:eastAsia="仿宋_GB2312" w:cs="Times New Roman"/>
          <w:color w:val="auto"/>
          <w:spacing w:val="6"/>
          <w:sz w:val="32"/>
          <w:lang w:val="en-US" w:eastAsia="zh-CN"/>
        </w:rPr>
        <w:t>现将《和平县新丰江水库水生态环境保护年度实施方案》印发给你们，请结合实际认真</w:t>
      </w:r>
      <w:r>
        <w:rPr>
          <w:rFonts w:hint="eastAsia" w:eastAsia="仿宋_GB2312" w:cs="Times New Roman"/>
          <w:color w:val="auto"/>
          <w:spacing w:val="6"/>
          <w:sz w:val="32"/>
          <w:lang w:val="en-US" w:eastAsia="zh-CN"/>
        </w:rPr>
        <w:t>组织</w:t>
      </w:r>
      <w:r>
        <w:rPr>
          <w:rFonts w:hint="default" w:ascii="Times New Roman" w:hAnsi="Times New Roman" w:eastAsia="仿宋_GB2312" w:cs="Times New Roman"/>
          <w:color w:val="auto"/>
          <w:spacing w:val="6"/>
          <w:sz w:val="32"/>
          <w:lang w:val="en-US" w:eastAsia="zh-CN"/>
        </w:rPr>
        <w:t>实施，实施过程中遇到的问题，请径向市生态环境局和平分局反映。</w:t>
      </w:r>
    </w:p>
    <w:p>
      <w:pPr>
        <w:keepNext w:val="0"/>
        <w:keepLines w:val="0"/>
        <w:pageBreakBefore w:val="0"/>
        <w:widowControl w:val="0"/>
        <w:kinsoku/>
        <w:wordWrap/>
        <w:overflowPunct/>
        <w:topLinePunct w:val="0"/>
        <w:autoSpaceDE/>
        <w:autoSpaceDN/>
        <w:bidi w:val="0"/>
        <w:adjustRightInd/>
        <w:snapToGrid w:val="0"/>
        <w:spacing w:line="580" w:lineRule="exact"/>
        <w:jc w:val="right"/>
        <w:textAlignment w:val="auto"/>
        <w:rPr>
          <w:rFonts w:hint="default" w:ascii="Times New Roman" w:hAnsi="Times New Roman" w:eastAsia="楷体_GB2312" w:cs="Times New Roman"/>
          <w:color w:val="auto"/>
          <w:spacing w:val="6"/>
          <w:sz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jc w:val="right"/>
        <w:textAlignment w:val="auto"/>
        <w:rPr>
          <w:rFonts w:hint="default" w:ascii="Times New Roman" w:hAnsi="Times New Roman" w:eastAsia="楷体_GB2312" w:cs="Times New Roman"/>
          <w:color w:val="auto"/>
          <w:spacing w:val="6"/>
          <w:sz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4920" w:firstLineChars="1500"/>
        <w:textAlignment w:val="auto"/>
        <w:rPr>
          <w:rFonts w:hint="default" w:ascii="Times New Roman" w:hAnsi="Times New Roman" w:eastAsia="仿宋_GB2312" w:cs="Times New Roman"/>
          <w:color w:val="auto"/>
          <w:spacing w:val="6"/>
          <w:sz w:val="32"/>
          <w:lang w:val="en-US" w:eastAsia="zh-CN"/>
        </w:rPr>
      </w:pPr>
      <w:r>
        <w:rPr>
          <w:rFonts w:hint="default" w:ascii="Times New Roman" w:hAnsi="Times New Roman" w:eastAsia="仿宋_GB2312" w:cs="Times New Roman"/>
          <w:color w:val="auto"/>
          <w:spacing w:val="6"/>
          <w:sz w:val="32"/>
          <w:lang w:val="en-US" w:eastAsia="zh-CN"/>
        </w:rPr>
        <w:t>和平县人民政府办公室</w:t>
      </w:r>
    </w:p>
    <w:p>
      <w:pPr>
        <w:keepNext w:val="0"/>
        <w:keepLines w:val="0"/>
        <w:pageBreakBefore w:val="0"/>
        <w:widowControl w:val="0"/>
        <w:kinsoku/>
        <w:wordWrap/>
        <w:overflowPunct/>
        <w:topLinePunct w:val="0"/>
        <w:autoSpaceDE/>
        <w:autoSpaceDN/>
        <w:bidi w:val="0"/>
        <w:adjustRightInd/>
        <w:snapToGrid w:val="0"/>
        <w:spacing w:line="580" w:lineRule="exact"/>
        <w:ind w:firstLine="5576" w:firstLineChars="1700"/>
        <w:textAlignment w:val="auto"/>
        <w:rPr>
          <w:rFonts w:hint="default" w:ascii="Times New Roman" w:hAnsi="Times New Roman" w:eastAsia="仿宋_GB2312" w:cs="Times New Roman"/>
          <w:color w:val="auto"/>
          <w:spacing w:val="6"/>
          <w:sz w:val="32"/>
          <w:lang w:val="en-US" w:eastAsia="zh-CN"/>
        </w:rPr>
      </w:pPr>
      <w:r>
        <w:rPr>
          <w:rFonts w:hint="eastAsia" w:ascii="Times New Roman" w:hAnsi="Times New Roman" w:eastAsia="仿宋_GB2312" w:cs="Times New Roman"/>
          <w:color w:val="auto"/>
          <w:spacing w:val="6"/>
          <w:sz w:val="32"/>
          <w:lang w:val="en-US" w:eastAsia="zh-CN"/>
        </w:rPr>
        <w:t>2024</w:t>
      </w:r>
      <w:r>
        <w:rPr>
          <w:rFonts w:hint="default" w:ascii="Times New Roman" w:hAnsi="Times New Roman" w:eastAsia="仿宋_GB2312" w:cs="Times New Roman"/>
          <w:color w:val="auto"/>
          <w:spacing w:val="6"/>
          <w:sz w:val="32"/>
          <w:lang w:val="en-US" w:eastAsia="zh-CN"/>
        </w:rPr>
        <w:t>年</w:t>
      </w:r>
      <w:r>
        <w:rPr>
          <w:rFonts w:hint="eastAsia" w:eastAsia="仿宋_GB2312" w:cs="Times New Roman"/>
          <w:color w:val="auto"/>
          <w:spacing w:val="6"/>
          <w:sz w:val="32"/>
          <w:lang w:val="en-US" w:eastAsia="zh-CN"/>
        </w:rPr>
        <w:t>9</w:t>
      </w:r>
      <w:r>
        <w:rPr>
          <w:rFonts w:hint="default" w:ascii="Times New Roman" w:hAnsi="Times New Roman" w:eastAsia="仿宋_GB2312" w:cs="Times New Roman"/>
          <w:color w:val="auto"/>
          <w:spacing w:val="6"/>
          <w:sz w:val="32"/>
          <w:lang w:val="en-US" w:eastAsia="zh-CN"/>
        </w:rPr>
        <w:t>月</w:t>
      </w:r>
      <w:r>
        <w:rPr>
          <w:rFonts w:hint="eastAsia" w:eastAsia="仿宋_GB2312" w:cs="Times New Roman"/>
          <w:color w:val="auto"/>
          <w:spacing w:val="6"/>
          <w:sz w:val="32"/>
          <w:lang w:val="en-US" w:eastAsia="zh-CN"/>
        </w:rPr>
        <w:t>4</w:t>
      </w:r>
      <w:r>
        <w:rPr>
          <w:rFonts w:hint="default" w:ascii="Times New Roman" w:hAnsi="Times New Roman" w:eastAsia="仿宋_GB2312" w:cs="Times New Roman"/>
          <w:color w:val="auto"/>
          <w:spacing w:val="6"/>
          <w:sz w:val="32"/>
          <w:lang w:val="en-US" w:eastAsia="zh-CN"/>
        </w:rPr>
        <w:t>日</w:t>
      </w:r>
    </w:p>
    <w:p>
      <w:pPr>
        <w:keepNext w:val="0"/>
        <w:keepLines w:val="0"/>
        <w:pageBreakBefore w:val="0"/>
        <w:widowControl w:val="0"/>
        <w:kinsoku/>
        <w:wordWrap/>
        <w:overflowPunct/>
        <w:topLinePunct w:val="0"/>
        <w:autoSpaceDE/>
        <w:autoSpaceDN/>
        <w:bidi w:val="0"/>
        <w:adjustRightInd/>
        <w:snapToGrid w:val="0"/>
        <w:spacing w:line="580" w:lineRule="exact"/>
        <w:ind w:firstLine="656" w:firstLineChars="200"/>
        <w:textAlignment w:val="auto"/>
        <w:rPr>
          <w:rFonts w:hint="default" w:ascii="Times New Roman" w:hAnsi="Times New Roman" w:eastAsia="仿宋_GB2312" w:cs="Times New Roman"/>
          <w:color w:val="auto"/>
          <w:spacing w:val="6"/>
          <w:sz w:val="32"/>
          <w:lang w:val="en-US" w:eastAsia="zh-CN"/>
        </w:rPr>
      </w:pPr>
    </w:p>
    <w:p>
      <w:pPr>
        <w:keepNext w:val="0"/>
        <w:keepLines w:val="0"/>
        <w:pageBreakBefore w:val="0"/>
        <w:widowControl w:val="0"/>
        <w:numPr>
          <w:ilvl w:val="5"/>
          <w:numId w:val="0"/>
        </w:numPr>
        <w:kinsoku/>
        <w:wordWrap/>
        <w:overflowPunct/>
        <w:topLinePunct w:val="0"/>
        <w:autoSpaceDE/>
        <w:autoSpaceDN/>
        <w:bidi w:val="0"/>
        <w:adjustRightInd w:val="0"/>
        <w:snapToGrid w:val="0"/>
        <w:spacing w:line="580" w:lineRule="exact"/>
        <w:jc w:val="center"/>
        <w:textAlignment w:val="auto"/>
        <w:outlineLvl w:val="1"/>
        <w:rPr>
          <w:rFonts w:hint="default" w:ascii="Times New Roman" w:hAnsi="Times New Roman" w:eastAsia="宋体" w:cs="Times New Roman"/>
          <w:color w:val="auto"/>
          <w:kern w:val="0"/>
          <w:sz w:val="44"/>
          <w:szCs w:val="44"/>
          <w:highlight w:val="none"/>
        </w:rPr>
      </w:pPr>
    </w:p>
    <w:p>
      <w:pPr>
        <w:pStyle w:val="20"/>
        <w:rPr>
          <w:rFonts w:hint="default"/>
        </w:rPr>
      </w:pPr>
    </w:p>
    <w:p>
      <w:pPr>
        <w:keepNext w:val="0"/>
        <w:keepLines w:val="0"/>
        <w:pageBreakBefore w:val="0"/>
        <w:widowControl w:val="0"/>
        <w:numPr>
          <w:ilvl w:val="5"/>
          <w:numId w:val="0"/>
        </w:numPr>
        <w:kinsoku/>
        <w:wordWrap/>
        <w:overflowPunct/>
        <w:topLinePunct w:val="0"/>
        <w:autoSpaceDE/>
        <w:autoSpaceDN/>
        <w:bidi w:val="0"/>
        <w:adjustRightInd w:val="0"/>
        <w:snapToGrid w:val="0"/>
        <w:spacing w:line="580" w:lineRule="exact"/>
        <w:jc w:val="center"/>
        <w:textAlignment w:val="auto"/>
        <w:outlineLvl w:val="1"/>
        <w:rPr>
          <w:rFonts w:hint="default" w:ascii="Times New Roman" w:hAnsi="Times New Roman" w:eastAsia="宋体" w:cs="Times New Roman"/>
          <w:color w:val="auto"/>
          <w:kern w:val="0"/>
          <w:sz w:val="44"/>
          <w:szCs w:val="44"/>
          <w:highlight w:val="none"/>
        </w:rPr>
      </w:pPr>
    </w:p>
    <w:p>
      <w:pPr>
        <w:keepNext w:val="0"/>
        <w:keepLines w:val="0"/>
        <w:pageBreakBefore w:val="0"/>
        <w:widowControl w:val="0"/>
        <w:numPr>
          <w:ilvl w:val="5"/>
          <w:numId w:val="0"/>
        </w:numPr>
        <w:kinsoku/>
        <w:wordWrap/>
        <w:overflowPunct/>
        <w:topLinePunct w:val="0"/>
        <w:autoSpaceDE/>
        <w:autoSpaceDN/>
        <w:bidi w:val="0"/>
        <w:adjustRightInd w:val="0"/>
        <w:snapToGrid w:val="0"/>
        <w:spacing w:line="580" w:lineRule="exact"/>
        <w:jc w:val="center"/>
        <w:textAlignment w:val="auto"/>
        <w:outlineLvl w:val="1"/>
        <w:rPr>
          <w:rFonts w:hint="default" w:ascii="Times New Roman" w:hAnsi="Times New Roman" w:eastAsia="宋体" w:cs="Times New Roman"/>
          <w:color w:val="auto"/>
          <w:kern w:val="0"/>
          <w:sz w:val="44"/>
          <w:szCs w:val="44"/>
          <w:highlight w:val="none"/>
        </w:rPr>
      </w:pPr>
    </w:p>
    <w:p>
      <w:pPr>
        <w:numPr>
          <w:ilvl w:val="5"/>
          <w:numId w:val="0"/>
        </w:numPr>
        <w:adjustRightInd w:val="0"/>
        <w:snapToGrid w:val="0"/>
        <w:spacing w:line="800" w:lineRule="exact"/>
        <w:jc w:val="center"/>
        <w:outlineLvl w:val="1"/>
        <w:rPr>
          <w:rFonts w:hint="default" w:ascii="Times New Roman" w:hAnsi="Times New Roman" w:eastAsia="方正小标宋简体" w:cs="Times New Roman"/>
          <w:color w:val="auto"/>
          <w:kern w:val="0"/>
          <w:sz w:val="44"/>
          <w:szCs w:val="44"/>
          <w:highlight w:val="none"/>
        </w:rPr>
        <w:sectPr>
          <w:pgSz w:w="11906" w:h="16838"/>
          <w:pgMar w:top="1984" w:right="1474" w:bottom="1871" w:left="1587" w:header="851" w:footer="992" w:gutter="0"/>
          <w:pgNumType w:fmt="decimal" w:start="2"/>
          <w:cols w:space="0" w:num="1"/>
          <w:rtlGutter w:val="0"/>
          <w:docGrid w:type="linesAndChars" w:linePitch="590" w:charSpace="-842"/>
        </w:sectPr>
      </w:pPr>
    </w:p>
    <w:p>
      <w:pPr>
        <w:numPr>
          <w:ilvl w:val="5"/>
          <w:numId w:val="0"/>
        </w:numPr>
        <w:adjustRightInd w:val="0"/>
        <w:snapToGrid w:val="0"/>
        <w:spacing w:line="800" w:lineRule="exact"/>
        <w:jc w:val="center"/>
        <w:outlineLvl w:val="1"/>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和平县新丰江水库水生态环境保护</w:t>
      </w:r>
    </w:p>
    <w:p>
      <w:pPr>
        <w:numPr>
          <w:ilvl w:val="5"/>
          <w:numId w:val="0"/>
        </w:numPr>
        <w:adjustRightInd w:val="0"/>
        <w:snapToGrid w:val="0"/>
        <w:spacing w:line="800" w:lineRule="exact"/>
        <w:jc w:val="center"/>
        <w:outlineLvl w:val="1"/>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kern w:val="0"/>
          <w:sz w:val="44"/>
          <w:szCs w:val="44"/>
          <w:highlight w:val="none"/>
        </w:rPr>
        <w:t>年度</w:t>
      </w:r>
      <w:r>
        <w:rPr>
          <w:rFonts w:hint="default" w:ascii="Times New Roman" w:hAnsi="Times New Roman" w:eastAsia="方正小标宋简体" w:cs="Times New Roman"/>
          <w:color w:val="auto"/>
          <w:sz w:val="44"/>
          <w:szCs w:val="44"/>
          <w:highlight w:val="none"/>
        </w:rPr>
        <w:t>实施方案</w:t>
      </w:r>
    </w:p>
    <w:p>
      <w:pPr>
        <w:keepNext w:val="0"/>
        <w:keepLines w:val="0"/>
        <w:pageBreakBefore w:val="0"/>
        <w:widowControl w:val="0"/>
        <w:numPr>
          <w:ilvl w:val="5"/>
          <w:numId w:val="0"/>
        </w:numPr>
        <w:kinsoku/>
        <w:wordWrap/>
        <w:overflowPunct/>
        <w:topLinePunct w:val="0"/>
        <w:autoSpaceDE/>
        <w:autoSpaceDN/>
        <w:bidi w:val="0"/>
        <w:adjustRightInd w:val="0"/>
        <w:snapToGrid w:val="0"/>
        <w:spacing w:line="580" w:lineRule="exact"/>
        <w:jc w:val="center"/>
        <w:textAlignment w:val="auto"/>
        <w:outlineLvl w:val="1"/>
        <w:rPr>
          <w:rFonts w:hint="default" w:ascii="Times New Roman" w:hAnsi="Times New Roman" w:eastAsia="宋体" w:cs="Times New Roman"/>
          <w:color w:val="auto"/>
          <w:sz w:val="44"/>
          <w:szCs w:val="44"/>
          <w:highlight w:val="none"/>
        </w:rPr>
      </w:pPr>
    </w:p>
    <w:p>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为抓好抓实</w:t>
      </w:r>
      <w:r>
        <w:rPr>
          <w:rFonts w:hint="eastAsia" w:eastAsia="仿宋_GB2312" w:cs="Times New Roman"/>
          <w:color w:val="auto"/>
          <w:sz w:val="32"/>
          <w:szCs w:val="32"/>
          <w:highlight w:val="none"/>
          <w:lang w:eastAsia="zh-CN"/>
        </w:rPr>
        <w:t>我县</w:t>
      </w:r>
      <w:r>
        <w:rPr>
          <w:rFonts w:hint="default" w:ascii="Times New Roman" w:hAnsi="Times New Roman" w:eastAsia="仿宋_GB2312" w:cs="Times New Roman"/>
          <w:color w:val="auto"/>
          <w:sz w:val="32"/>
          <w:szCs w:val="32"/>
          <w:highlight w:val="none"/>
        </w:rPr>
        <w:t>新丰江流域水生态环境保护工作，持续改善新丰江水库流域生态环境，促进我县高质量发展，根据《</w:t>
      </w:r>
      <w:r>
        <w:rPr>
          <w:rFonts w:hint="eastAsia" w:eastAsia="仿宋_GB2312" w:cs="Times New Roman"/>
          <w:color w:val="auto"/>
          <w:sz w:val="32"/>
          <w:szCs w:val="32"/>
          <w:highlight w:val="none"/>
          <w:lang w:eastAsia="zh-CN"/>
        </w:rPr>
        <w:t>广东省生态环境厅关于印发</w:t>
      </w:r>
      <w:r>
        <w:rPr>
          <w:rFonts w:hint="default" w:ascii="Times New Roman" w:hAnsi="Times New Roman" w:eastAsia="仿宋_GB2312" w:cs="Times New Roman"/>
          <w:color w:val="auto"/>
          <w:sz w:val="32"/>
          <w:szCs w:val="32"/>
          <w:highlight w:val="none"/>
        </w:rPr>
        <w:t>新丰江水库水生态环境保护总体方案</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2023-2025年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的通知</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粤环</w:t>
      </w:r>
      <w:r>
        <w:rPr>
          <w:rFonts w:hint="default" w:ascii="Times New Roman" w:hAnsi="Times New Roman" w:eastAsia="仿宋_GB2312" w:cs="Times New Roman"/>
          <w:color w:val="auto"/>
          <w:sz w:val="32"/>
          <w:szCs w:val="32"/>
          <w:highlight w:val="none"/>
        </w:rPr>
        <w:t>〔202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号）、《河源市人民政府办公室关于印发河源市新丰江水库水生态环境保护实施方案的通知》（河府办函〔2024〕41号）精神</w:t>
      </w:r>
      <w:r>
        <w:rPr>
          <w:rFonts w:hint="eastAsia" w:eastAsia="仿宋_GB2312" w:cs="Times New Roman"/>
          <w:color w:val="auto"/>
          <w:sz w:val="32"/>
          <w:szCs w:val="32"/>
          <w:highlight w:val="none"/>
          <w:lang w:eastAsia="zh-CN"/>
        </w:rPr>
        <w:t>，结合</w:t>
      </w:r>
      <w:r>
        <w:rPr>
          <w:rFonts w:hint="default" w:ascii="Times New Roman" w:hAnsi="Times New Roman" w:eastAsia="仿宋_GB2312" w:cs="Times New Roman"/>
          <w:color w:val="auto"/>
          <w:sz w:val="32"/>
          <w:szCs w:val="32"/>
          <w:highlight w:val="none"/>
        </w:rPr>
        <w:t>我县实际，制定本实施方案。</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一、总体要求</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习近平生态文明思想为指导，深入贯彻落实党的二十大精神和习近平总书记视察广东重要讲话、重要指示精神，认真贯彻落实省委十三届三次全会精神和省委“1310”具体部署、市委“138”具体安排，以永保新丰江水库I类水质为目标，以降总氮为重点，以畜禽养殖、城镇生活等污染源防治为主要抓手，统筹水资源、水环境、水生态治理，精准、科学、依法治污，到2025年，新丰江水库国考断面水质稳定保持I类，总氮年均值力争不超过0.3毫克/升，入库总氮通量相较2020年减半</w:t>
      </w:r>
      <w:r>
        <w:rPr>
          <w:rFonts w:hint="eastAsia"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，船塘河和平段（礼士河）国考断面水质稳定保持II类，总氮年均值力争不超过1.0毫克/升。</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二、保护范围及主要目标</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我县新丰江水库水生态环境保护范围涉及东水镇、礼士镇、公白镇、合水镇、青州镇、热水镇、浰源镇7个镇，保护河流为船塘河和平段（礼士河），属一级支流，断面水质目标为II类。</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三、重点任务</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_GB2312" w:cs="Times New Roman"/>
          <w:color w:val="auto"/>
          <w:sz w:val="32"/>
          <w:szCs w:val="32"/>
          <w:highlight w:val="none"/>
        </w:rPr>
        <w:t>（一）严守红线，</w:t>
      </w:r>
      <w:r>
        <w:rPr>
          <w:rFonts w:hint="default" w:ascii="Times New Roman" w:hAnsi="Times New Roman" w:eastAsia="楷体_GB2312" w:cs="Times New Roman"/>
          <w:color w:val="auto"/>
          <w:sz w:val="32"/>
          <w:szCs w:val="32"/>
          <w:highlight w:val="none"/>
          <w:lang w:eastAsia="zh-Hans"/>
        </w:rPr>
        <w:t>构建</w:t>
      </w:r>
      <w:r>
        <w:rPr>
          <w:rFonts w:hint="default" w:ascii="Times New Roman" w:hAnsi="Times New Roman" w:eastAsia="楷体_GB2312" w:cs="Times New Roman"/>
          <w:color w:val="auto"/>
          <w:sz w:val="32"/>
          <w:szCs w:val="32"/>
          <w:highlight w:val="none"/>
        </w:rPr>
        <w:t>保护与发展共赢</w:t>
      </w:r>
      <w:r>
        <w:rPr>
          <w:rFonts w:hint="default" w:ascii="Times New Roman" w:hAnsi="Times New Roman" w:eastAsia="楷体_GB2312" w:cs="Times New Roman"/>
          <w:color w:val="auto"/>
          <w:sz w:val="32"/>
          <w:szCs w:val="32"/>
          <w:highlight w:val="none"/>
          <w:lang w:eastAsia="zh-Hans"/>
        </w:rPr>
        <w:t>新</w:t>
      </w:r>
      <w:r>
        <w:rPr>
          <w:rFonts w:hint="default" w:ascii="Times New Roman" w:hAnsi="Times New Roman" w:eastAsia="楷体_GB2312" w:cs="Times New Roman"/>
          <w:color w:val="auto"/>
          <w:sz w:val="32"/>
          <w:szCs w:val="32"/>
          <w:highlight w:val="none"/>
        </w:rPr>
        <w:t>格局。</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eastAsia" w:ascii="楷体_GB2312" w:hAnsi="楷体_GB2312" w:eastAsia="楷体_GB2312" w:cs="楷体_GB2312"/>
          <w:color w:val="auto"/>
          <w:sz w:val="32"/>
          <w:szCs w:val="32"/>
          <w:highlight w:val="none"/>
        </w:rPr>
      </w:pPr>
      <w:r>
        <w:rPr>
          <w:rFonts w:hint="default" w:ascii="Times New Roman" w:hAnsi="Times New Roman" w:eastAsia="仿宋_GB2312" w:cs="Times New Roman"/>
          <w:b/>
          <w:bCs/>
          <w:color w:val="auto"/>
          <w:sz w:val="32"/>
          <w:szCs w:val="32"/>
          <w:highlight w:val="none"/>
        </w:rPr>
        <w:t>1．严守生态保护红线。</w:t>
      </w:r>
      <w:r>
        <w:rPr>
          <w:rFonts w:hint="default" w:ascii="Times New Roman" w:hAnsi="Times New Roman" w:eastAsia="仿宋_GB2312" w:cs="Times New Roman"/>
          <w:color w:val="auto"/>
          <w:sz w:val="32"/>
          <w:szCs w:val="32"/>
          <w:highlight w:val="none"/>
        </w:rPr>
        <w:t>严格落实国土空间规划，严控林地、湿地转为耕地等土地利用功能变更。落实“三线一单”生态环境分区管控要求，严把建设项目生态环境准入关，严格限制水污染物排放量大的工业项目。加强河湖水域岸线空间管控，强化库区控制水位线及主要河流河湖管理范围内的岸线保护和节约集约利用，落实河湖“清四乱”常态化规范化机制，贯彻执行水利部“严禁以各种名义围湖造地、非法围垦河道”等有关指导意见。推进饮用水水源保护区规范化建设，强化饮用水水源地执法监管。</w:t>
      </w:r>
      <w:r>
        <w:rPr>
          <w:rFonts w:hint="eastAsia" w:ascii="楷体_GB2312" w:hAnsi="楷体_GB2312" w:eastAsia="楷体_GB2312" w:cs="楷体_GB2312"/>
          <w:color w:val="auto"/>
          <w:sz w:val="32"/>
          <w:szCs w:val="32"/>
          <w:highlight w:val="none"/>
        </w:rPr>
        <w:t>（县自然资源局、县水务局、市生态环境局和平分局按职责分工负责。各相关镇负责落实。）</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2．加快构建发展新格局。</w:t>
      </w:r>
      <w:r>
        <w:rPr>
          <w:rFonts w:hint="default" w:ascii="Times New Roman" w:hAnsi="Times New Roman" w:eastAsia="仿宋_GB2312" w:cs="Times New Roman"/>
          <w:color w:val="auto"/>
          <w:sz w:val="32"/>
          <w:szCs w:val="32"/>
          <w:highlight w:val="none"/>
        </w:rPr>
        <w:t>以水资源、水环境、水生态为最大刚性约束，合理规划人口、城市和产业发展，全面推进“百县千镇万村高质量发展工程”。</w:t>
      </w:r>
      <w:bookmarkStart w:id="0" w:name="_Hlk129613824"/>
      <w:r>
        <w:rPr>
          <w:rFonts w:hint="default" w:ascii="Times New Roman" w:hAnsi="Times New Roman" w:eastAsia="仿宋_GB2312" w:cs="Times New Roman"/>
          <w:color w:val="auto"/>
          <w:sz w:val="32"/>
          <w:szCs w:val="32"/>
          <w:highlight w:val="none"/>
        </w:rPr>
        <w:t>重点支持乡村旅游业、现代农业及“水经济”等产业。构建现代农业产业结构体系，推进畜禽和水产养殖业</w:t>
      </w:r>
      <w:r>
        <w:rPr>
          <w:rFonts w:hint="eastAsia" w:eastAsia="仿宋_GB2312" w:cs="Times New Roman"/>
          <w:color w:val="auto"/>
          <w:sz w:val="32"/>
          <w:szCs w:val="32"/>
          <w:highlight w:val="none"/>
          <w:lang w:eastAsia="zh-CN"/>
        </w:rPr>
        <w:t>规范化</w:t>
      </w:r>
      <w:r>
        <w:rPr>
          <w:rFonts w:hint="default" w:ascii="Times New Roman" w:hAnsi="Times New Roman" w:eastAsia="仿宋_GB2312" w:cs="Times New Roman"/>
          <w:color w:val="auto"/>
          <w:sz w:val="32"/>
          <w:szCs w:val="32"/>
          <w:highlight w:val="none"/>
        </w:rPr>
        <w:t>、绿色化发展。</w:t>
      </w:r>
      <w:r>
        <w:rPr>
          <w:rFonts w:hint="default" w:ascii="楷体_GB2312" w:hAnsi="楷体_GB2312" w:eastAsia="楷体_GB2312" w:cs="楷体_GB2312"/>
          <w:color w:val="auto"/>
          <w:sz w:val="32"/>
          <w:szCs w:val="32"/>
          <w:highlight w:val="none"/>
        </w:rPr>
        <w:t>（县发改局、县工商信局、县水务局、县农业农村局、县文广旅体局、市生态环境局和平分局按职责分工负责）</w:t>
      </w:r>
      <w:bookmarkEnd w:id="0"/>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_GB2312" w:cs="Times New Roman"/>
          <w:color w:val="auto"/>
          <w:sz w:val="32"/>
          <w:szCs w:val="32"/>
          <w:highlight w:val="none"/>
        </w:rPr>
        <w:t>（二）严格管治，系统推进养殖行业优化升级。</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仿宋_GB2312" w:cs="Times New Roman"/>
          <w:b/>
          <w:bCs/>
          <w:color w:val="auto"/>
          <w:sz w:val="32"/>
          <w:szCs w:val="32"/>
          <w:highlight w:val="none"/>
        </w:rPr>
      </w:pPr>
      <w:bookmarkStart w:id="1" w:name="_Hlk129616441"/>
      <w:r>
        <w:rPr>
          <w:rFonts w:hint="default" w:ascii="Times New Roman" w:hAnsi="Times New Roman" w:eastAsia="仿宋_GB2312" w:cs="Times New Roman"/>
          <w:b/>
          <w:bCs/>
          <w:color w:val="auto"/>
          <w:sz w:val="32"/>
          <w:szCs w:val="32"/>
          <w:highlight w:val="none"/>
        </w:rPr>
        <w:t>3.严格畜禽养殖污染监管。依法依规科学划定畜禽养殖禁养区、限养区。</w:t>
      </w:r>
      <w:r>
        <w:rPr>
          <w:rFonts w:hint="default" w:ascii="Times New Roman" w:hAnsi="Times New Roman" w:eastAsia="仿宋_GB2312" w:cs="Times New Roman"/>
          <w:color w:val="auto"/>
          <w:sz w:val="32"/>
          <w:szCs w:val="32"/>
          <w:highlight w:val="none"/>
        </w:rPr>
        <w:t>根据流域环境承载能力和污染物排放总量控制需要，优化调整畜禽养殖禁养区，原则上将船塘河和平段（礼士河）两岸水环境敏感区域纳入禁养区管理；在禁养区基础上适当外扩合理范围，科学划定限养区，限养区内实施新建规模养殖场规模倍量替代。</w:t>
      </w:r>
      <w:r>
        <w:rPr>
          <w:rFonts w:hint="default" w:ascii="Times New Roman" w:hAnsi="Times New Roman" w:eastAsia="仿宋_GB2312" w:cs="Times New Roman"/>
          <w:b/>
          <w:bCs/>
          <w:color w:val="auto"/>
          <w:sz w:val="32"/>
          <w:szCs w:val="32"/>
          <w:highlight w:val="none"/>
        </w:rPr>
        <w:t>强化畜禽养殖污染防治与畜禽业发展统筹规划。</w:t>
      </w:r>
      <w:r>
        <w:rPr>
          <w:rFonts w:hint="default" w:ascii="Times New Roman" w:hAnsi="Times New Roman" w:eastAsia="仿宋_GB2312" w:cs="Times New Roman"/>
          <w:color w:val="auto"/>
          <w:sz w:val="32"/>
          <w:szCs w:val="32"/>
          <w:highlight w:val="none"/>
        </w:rPr>
        <w:t>严格落实环境影响评价与排污许可制度，监督指导畜禽养殖场依法持证排污、按证排污或者进行排污登记。</w:t>
      </w:r>
      <w:r>
        <w:rPr>
          <w:rFonts w:hint="default" w:ascii="Times New Roman" w:hAnsi="Times New Roman" w:eastAsia="仿宋_GB2312" w:cs="Times New Roman"/>
          <w:b/>
          <w:bCs/>
          <w:color w:val="auto"/>
          <w:sz w:val="32"/>
          <w:szCs w:val="32"/>
          <w:highlight w:val="none"/>
        </w:rPr>
        <w:t>加强粪污塘污染治理和监管。</w:t>
      </w:r>
      <w:r>
        <w:rPr>
          <w:rFonts w:hint="default" w:ascii="Times New Roman" w:hAnsi="Times New Roman" w:eastAsia="仿宋_GB2312" w:cs="Times New Roman"/>
          <w:color w:val="auto"/>
          <w:sz w:val="32"/>
          <w:szCs w:val="32"/>
          <w:highlight w:val="none"/>
        </w:rPr>
        <w:t>要结合“千塘万渠”清淤行动，全面排查摸清现有粪污塘底数，制定清塘治理方案并实施整治，对污染严重且逾期未完成清理的粪污塘依法依规追究生态环境损害赔偿责任。</w:t>
      </w:r>
      <w:r>
        <w:rPr>
          <w:rFonts w:hint="default" w:ascii="Times New Roman" w:hAnsi="Times New Roman" w:eastAsia="仿宋_GB2312" w:cs="Times New Roman"/>
          <w:b/>
          <w:bCs/>
          <w:color w:val="auto"/>
          <w:sz w:val="32"/>
          <w:szCs w:val="32"/>
          <w:highlight w:val="none"/>
        </w:rPr>
        <w:t>定期开展畜禽养殖污染问题专项整治行动。</w:t>
      </w:r>
      <w:r>
        <w:rPr>
          <w:rFonts w:hint="default" w:ascii="Times New Roman" w:hAnsi="Times New Roman" w:eastAsia="仿宋_GB2312" w:cs="Times New Roman"/>
          <w:color w:val="auto"/>
          <w:sz w:val="32"/>
          <w:szCs w:val="32"/>
          <w:highlight w:val="none"/>
        </w:rPr>
        <w:t>依法查处无证排污、不按证排污、污染防治及粪污处理等设施配套不到位、禁养区内建设畜禽规模养殖场以及粪肥超量施用污染环境等环境违法行为，推进畜禽养殖场（户）环境问题整改。</w:t>
      </w:r>
      <w:bookmarkStart w:id="2" w:name="_Hlk129619149"/>
      <w:r>
        <w:rPr>
          <w:rFonts w:hint="default" w:ascii="楷体_GB2312" w:hAnsi="楷体_GB2312" w:eastAsia="楷体_GB2312" w:cs="楷体_GB2312"/>
          <w:color w:val="auto"/>
          <w:sz w:val="32"/>
          <w:szCs w:val="32"/>
          <w:highlight w:val="none"/>
        </w:rPr>
        <w:t>（市生态环境局和平分局牵头，县农业农村局按职责分工负责）</w:t>
      </w:r>
      <w:bookmarkEnd w:id="1"/>
      <w:bookmarkEnd w:id="2"/>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楷体_GB2312" w:hAnsi="楷体_GB2312" w:eastAsia="楷体_GB2312" w:cs="楷体_GB2312"/>
          <w:color w:val="auto"/>
          <w:sz w:val="32"/>
          <w:szCs w:val="32"/>
          <w:highlight w:val="none"/>
        </w:rPr>
      </w:pPr>
      <w:r>
        <w:rPr>
          <w:rFonts w:hint="default" w:ascii="Times New Roman" w:hAnsi="Times New Roman" w:eastAsia="仿宋_GB2312" w:cs="Times New Roman"/>
          <w:b/>
          <w:bCs/>
          <w:color w:val="auto"/>
          <w:sz w:val="32"/>
          <w:szCs w:val="32"/>
          <w:highlight w:val="none"/>
        </w:rPr>
        <w:t>4．强化畜禽养殖粪污资源化利用。加强畜禽养殖场（户）基础信息备案动态管理。</w:t>
      </w:r>
      <w:r>
        <w:rPr>
          <w:rFonts w:hint="default" w:ascii="Times New Roman" w:hAnsi="Times New Roman" w:eastAsia="仿宋_GB2312" w:cs="Times New Roman"/>
          <w:color w:val="auto"/>
          <w:sz w:val="32"/>
          <w:szCs w:val="32"/>
          <w:highlight w:val="none"/>
        </w:rPr>
        <w:t>及时准确掌握基础信息数据，</w:t>
      </w:r>
      <w:r>
        <w:rPr>
          <w:rFonts w:hint="eastAsia" w:eastAsia="仿宋_GB2312" w:cs="Times New Roman"/>
          <w:color w:val="auto"/>
          <w:sz w:val="32"/>
          <w:szCs w:val="32"/>
          <w:highlight w:val="none"/>
          <w:lang w:eastAsia="zh-CN"/>
        </w:rPr>
        <w:t>已</w:t>
      </w:r>
      <w:r>
        <w:rPr>
          <w:rFonts w:hint="default" w:ascii="Times New Roman" w:hAnsi="Times New Roman" w:eastAsia="仿宋_GB2312" w:cs="Times New Roman"/>
          <w:color w:val="auto"/>
          <w:sz w:val="32"/>
          <w:szCs w:val="32"/>
          <w:highlight w:val="none"/>
        </w:rPr>
        <w:t>建立畜禽养殖动态台账通报制度，县农业农村局将每月养殖动态信息通报市生态环境局和平分局，并按照畜禽养殖分区要求管控养殖行为。</w:t>
      </w:r>
      <w:r>
        <w:rPr>
          <w:rFonts w:hint="default" w:ascii="Times New Roman" w:hAnsi="Times New Roman" w:eastAsia="仿宋_GB2312" w:cs="Times New Roman"/>
          <w:b/>
          <w:bCs/>
          <w:color w:val="auto"/>
          <w:sz w:val="32"/>
          <w:szCs w:val="32"/>
          <w:highlight w:val="none"/>
        </w:rPr>
        <w:t>积极推广生态健康、绿色科学的养殖模式。</w:t>
      </w:r>
      <w:r>
        <w:rPr>
          <w:rFonts w:hint="default" w:ascii="Times New Roman" w:hAnsi="Times New Roman" w:eastAsia="仿宋_GB2312" w:cs="Times New Roman"/>
          <w:color w:val="auto"/>
          <w:sz w:val="32"/>
          <w:szCs w:val="32"/>
          <w:highlight w:val="none"/>
        </w:rPr>
        <w:t>进一步加强引导和指导畜禽养殖场（户）对水冲粪工艺向干清粪等工艺的转型，加快淘汰畜禽养殖场（户）水冲粪工艺。</w:t>
      </w:r>
      <w:r>
        <w:rPr>
          <w:rFonts w:hint="default" w:ascii="Times New Roman" w:hAnsi="Times New Roman" w:eastAsia="仿宋_GB2312" w:cs="Times New Roman"/>
          <w:b/>
          <w:bCs/>
          <w:color w:val="auto"/>
          <w:sz w:val="32"/>
          <w:szCs w:val="32"/>
          <w:highlight w:val="none"/>
        </w:rPr>
        <w:t>开展设施装备配套情况核查与整改工作。</w:t>
      </w:r>
      <w:r>
        <w:rPr>
          <w:rFonts w:hint="default" w:ascii="Times New Roman" w:hAnsi="Times New Roman" w:eastAsia="仿宋_GB2312" w:cs="Times New Roman"/>
          <w:color w:val="auto"/>
          <w:sz w:val="32"/>
          <w:szCs w:val="32"/>
          <w:highlight w:val="none"/>
        </w:rPr>
        <w:t>推动畜禽规模养殖场粪污处理设施装备提档升级，规范畜禽养殖户粪污处理设施装备配套，优先支持船塘河和平段（礼士河）流域规模养殖场的升级改造和资源化利用设施建设并协助争取上级财政资金补助，2024年底前，推动畜禽养殖户粪污收集处理设施升级改造，劝退限期改造后仍不符合要求的畜禽养殖户。</w:t>
      </w:r>
      <w:r>
        <w:rPr>
          <w:rFonts w:hint="default" w:ascii="楷体_GB2312" w:hAnsi="楷体_GB2312" w:eastAsia="楷体_GB2312" w:cs="楷体_GB2312"/>
          <w:color w:val="auto"/>
          <w:sz w:val="32"/>
          <w:szCs w:val="32"/>
          <w:highlight w:val="none"/>
        </w:rPr>
        <w:t>（县农业农村局牵头，市生态环境局和平分局按职责分工负责）</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楷体_GB2312" w:hAnsi="楷体_GB2312" w:eastAsia="楷体_GB2312" w:cs="楷体_GB2312"/>
          <w:color w:val="auto"/>
          <w:sz w:val="32"/>
          <w:szCs w:val="32"/>
          <w:highlight w:val="none"/>
        </w:rPr>
      </w:pPr>
      <w:r>
        <w:rPr>
          <w:rFonts w:hint="default" w:ascii="Times New Roman" w:hAnsi="Times New Roman" w:eastAsia="仿宋_GB2312" w:cs="Times New Roman"/>
          <w:b/>
          <w:bCs/>
          <w:color w:val="auto"/>
          <w:sz w:val="32"/>
          <w:szCs w:val="32"/>
          <w:highlight w:val="none"/>
        </w:rPr>
        <w:t>5．推进水产养殖绿色健康发展。</w:t>
      </w:r>
      <w:r>
        <w:rPr>
          <w:rFonts w:hint="default" w:ascii="Times New Roman" w:hAnsi="Times New Roman" w:eastAsia="仿宋_GB2312" w:cs="Times New Roman"/>
          <w:color w:val="auto"/>
          <w:sz w:val="32"/>
          <w:szCs w:val="32"/>
          <w:highlight w:val="none"/>
        </w:rPr>
        <w:t>大力推广绿色健康水产养殖技术，鼓励发展新型高效生态养殖技术，推进水产养殖节水减排和用药减量，加强帮扶指导废水排放量大水产养殖项目依法依规开展环境影响评价和污染治理。</w:t>
      </w:r>
      <w:r>
        <w:rPr>
          <w:rFonts w:hint="default" w:ascii="楷体_GB2312" w:hAnsi="楷体_GB2312" w:eastAsia="楷体_GB2312" w:cs="楷体_GB2312"/>
          <w:color w:val="auto"/>
          <w:sz w:val="32"/>
          <w:szCs w:val="32"/>
          <w:highlight w:val="none"/>
        </w:rPr>
        <w:t>（县农业农村局牵头，市生态环境局和平分局按职责分工负责）</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_GB2312" w:cs="Times New Roman"/>
          <w:color w:val="auto"/>
          <w:sz w:val="32"/>
          <w:szCs w:val="32"/>
          <w:highlight w:val="none"/>
        </w:rPr>
        <w:t>（三）防治结合，提升农业面源污染治理能力。</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楷体_GB2312" w:hAnsi="楷体_GB2312" w:eastAsia="楷体_GB2312" w:cs="楷体_GB2312"/>
          <w:color w:val="auto"/>
          <w:sz w:val="32"/>
          <w:szCs w:val="32"/>
          <w:highlight w:val="none"/>
        </w:rPr>
      </w:pPr>
      <w:r>
        <w:rPr>
          <w:rFonts w:hint="default" w:ascii="Times New Roman" w:hAnsi="Times New Roman" w:eastAsia="仿宋_GB2312" w:cs="Times New Roman"/>
          <w:b/>
          <w:bCs/>
          <w:color w:val="auto"/>
          <w:sz w:val="32"/>
          <w:szCs w:val="32"/>
          <w:highlight w:val="none"/>
        </w:rPr>
        <w:t>6．加强农业面源污染源头管控。</w:t>
      </w:r>
      <w:r>
        <w:rPr>
          <w:rFonts w:hint="default" w:ascii="Times New Roman" w:hAnsi="Times New Roman" w:eastAsia="仿宋_GB2312" w:cs="Times New Roman"/>
          <w:color w:val="auto"/>
          <w:sz w:val="32"/>
          <w:szCs w:val="32"/>
          <w:highlight w:val="none"/>
        </w:rPr>
        <w:t>开展化肥农药减量行动，深入推进测土配方施肥、农作物病虫害统防统治及绿色防控。持续开展农膜回收，推广全生物降解地膜应用。加快推进秸秆综合利用，优先采用就地还田处置。加快有机肥替代化肥，稳步增加有机肥施用量和面积，建设果菜茶有机肥替代化肥及化肥减量增效技术示范区。开展农业面源污染治理试点研究，探索总结农业面源污染全过程防治模式。2025年底前，船塘河和平段（礼士河）流域内主要农作物测土配方施肥技术覆盖率达90%以上</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楷体_GB2312" w:hAnsi="楷体_GB2312" w:eastAsia="楷体_GB2312" w:cs="楷体_GB2312"/>
          <w:color w:val="auto"/>
          <w:sz w:val="32"/>
          <w:szCs w:val="32"/>
          <w:highlight w:val="none"/>
        </w:rPr>
        <w:t>县农业农村局牵头，市生态环境局和平分局参与）</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7．规范农田开垦要求。</w:t>
      </w:r>
      <w:r>
        <w:rPr>
          <w:rFonts w:hint="default" w:ascii="Times New Roman" w:hAnsi="Times New Roman" w:eastAsia="仿宋_GB2312" w:cs="Times New Roman"/>
          <w:color w:val="auto"/>
          <w:sz w:val="32"/>
          <w:szCs w:val="32"/>
          <w:highlight w:val="none"/>
        </w:rPr>
        <w:t>严格耕地</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进出平衡</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管理工作，明确船塘河和平段（礼士河）河湖管理范围内耕地。构建农业面源污染缓冲系统，推动农田退水循环利用，新垦造水田要配套建设一定比例面积的农业面源污染缓冲系统。</w:t>
      </w:r>
      <w:r>
        <w:rPr>
          <w:rFonts w:hint="default" w:ascii="楷体_GB2312" w:hAnsi="楷体_GB2312" w:eastAsia="楷体_GB2312" w:cs="楷体_GB2312"/>
          <w:color w:val="auto"/>
          <w:sz w:val="32"/>
          <w:szCs w:val="32"/>
          <w:highlight w:val="none"/>
        </w:rPr>
        <w:t>（县自然资源局、县水务局、县农业农村局按职责分工负责）</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_GB2312" w:cs="Times New Roman"/>
          <w:color w:val="auto"/>
          <w:sz w:val="32"/>
          <w:szCs w:val="32"/>
          <w:highlight w:val="none"/>
        </w:rPr>
        <w:t>（四）补</w:t>
      </w:r>
      <w:r>
        <w:rPr>
          <w:rFonts w:hint="default" w:ascii="Times New Roman" w:hAnsi="Times New Roman" w:eastAsia="楷体_GB2312" w:cs="Times New Roman"/>
          <w:color w:val="auto"/>
          <w:sz w:val="32"/>
          <w:szCs w:val="32"/>
          <w:highlight w:val="none"/>
          <w:lang w:eastAsia="zh-Hans"/>
        </w:rPr>
        <w:t>齐</w:t>
      </w:r>
      <w:r>
        <w:rPr>
          <w:rFonts w:hint="default" w:ascii="Times New Roman" w:hAnsi="Times New Roman" w:eastAsia="楷体_GB2312" w:cs="Times New Roman"/>
          <w:color w:val="auto"/>
          <w:sz w:val="32"/>
          <w:szCs w:val="32"/>
          <w:highlight w:val="none"/>
        </w:rPr>
        <w:t>短板，完善环保</w:t>
      </w:r>
      <w:r>
        <w:rPr>
          <w:rFonts w:hint="default" w:ascii="Times New Roman" w:hAnsi="Times New Roman" w:eastAsia="楷体_GB2312" w:cs="Times New Roman"/>
          <w:color w:val="auto"/>
          <w:sz w:val="32"/>
          <w:szCs w:val="32"/>
          <w:highlight w:val="none"/>
          <w:lang w:eastAsia="zh-Hans"/>
        </w:rPr>
        <w:t>基础</w:t>
      </w:r>
      <w:r>
        <w:rPr>
          <w:rFonts w:hint="default" w:ascii="Times New Roman" w:hAnsi="Times New Roman" w:eastAsia="楷体_GB2312" w:cs="Times New Roman"/>
          <w:color w:val="auto"/>
          <w:sz w:val="32"/>
          <w:szCs w:val="32"/>
          <w:highlight w:val="none"/>
        </w:rPr>
        <w:t>设施建设管理。</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8．加快补齐生活污水管网短板。开展城镇污水管网提质增效专项行动。</w:t>
      </w:r>
      <w:r>
        <w:rPr>
          <w:rFonts w:hint="default" w:ascii="Times New Roman" w:hAnsi="Times New Roman" w:eastAsia="仿宋_GB2312" w:cs="Times New Roman"/>
          <w:color w:val="auto"/>
          <w:sz w:val="32"/>
          <w:szCs w:val="32"/>
          <w:highlight w:val="none"/>
        </w:rPr>
        <w:t>查清各相关镇污水厂现有管网外水入侵、雨污错接混接、管道缺陷等问题，分批次稳步推进全流域镇级污水厂配套管网的修复和改造，实现进厂水质水量双提升，完成管网提质增效任务。</w:t>
      </w:r>
      <w:r>
        <w:rPr>
          <w:rFonts w:hint="default" w:ascii="Times New Roman" w:hAnsi="Times New Roman" w:eastAsia="仿宋_GB2312" w:cs="Times New Roman"/>
          <w:b/>
          <w:bCs/>
          <w:color w:val="auto"/>
          <w:sz w:val="32"/>
          <w:szCs w:val="32"/>
          <w:highlight w:val="none"/>
        </w:rPr>
        <w:t>补齐城镇污水厂配套管网缺口。</w:t>
      </w:r>
      <w:r>
        <w:rPr>
          <w:rFonts w:hint="default" w:ascii="Times New Roman" w:hAnsi="Times New Roman" w:eastAsia="仿宋_GB2312" w:cs="Times New Roman"/>
          <w:color w:val="auto"/>
          <w:sz w:val="32"/>
          <w:szCs w:val="32"/>
          <w:highlight w:val="none"/>
        </w:rPr>
        <w:t>推动镇主干管网、关键连接线和入户管建设。2025年底前，实现流域内城镇生活污水处理厂负荷率不低于70%，建制镇污水处理厂进水BOD</w:t>
      </w:r>
      <w:r>
        <w:rPr>
          <w:rFonts w:hint="default" w:ascii="Times New Roman" w:hAnsi="Times New Roman" w:eastAsia="仿宋_GB2312" w:cs="Times New Roman"/>
          <w:color w:val="auto"/>
          <w:sz w:val="32"/>
          <w:szCs w:val="32"/>
          <w:highlight w:val="none"/>
          <w:vertAlign w:val="subscript"/>
        </w:rPr>
        <w:t>5</w:t>
      </w:r>
      <w:r>
        <w:rPr>
          <w:rFonts w:hint="default" w:ascii="Times New Roman" w:hAnsi="Times New Roman" w:eastAsia="仿宋_GB2312" w:cs="Times New Roman"/>
          <w:color w:val="auto"/>
          <w:sz w:val="32"/>
          <w:szCs w:val="32"/>
          <w:highlight w:val="none"/>
        </w:rPr>
        <w:t>浓度有效提升。</w:t>
      </w:r>
      <w:r>
        <w:rPr>
          <w:rFonts w:hint="default" w:ascii="楷体_GB2312" w:hAnsi="楷体_GB2312" w:eastAsia="楷体_GB2312" w:cs="楷体_GB2312"/>
          <w:color w:val="auto"/>
          <w:sz w:val="32"/>
          <w:szCs w:val="32"/>
          <w:highlight w:val="none"/>
        </w:rPr>
        <w:t>（县住建局牵头，县发改局、市生态环境局和平分局、各相关镇参与）</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9．加强城镇污水处理设施建设与运维管理。</w:t>
      </w:r>
      <w:r>
        <w:rPr>
          <w:rFonts w:hint="default" w:ascii="Times New Roman" w:hAnsi="Times New Roman" w:eastAsia="仿宋_GB2312" w:cs="Times New Roman"/>
          <w:color w:val="auto"/>
          <w:sz w:val="32"/>
          <w:szCs w:val="32"/>
          <w:highlight w:val="none"/>
        </w:rPr>
        <w:t>加快补齐城镇污水处理设施能力缺口，确保船塘河和平段（礼士河）流域内镇（街）污水处理设施全覆盖。加快统筹推动部分城镇生活污水处理厂验收投产有效运行。健全城镇污水处理设施运维管理机制，加快建立城镇排水系统“厂网一体化”管理机制，推行管网专业化运管，探索建立与进出水水质、污染物削减量等服务内容挂钩的付费机制，推进污水处理费合理调整，积极争取上级资金用于城镇污水处理设施运维补贴。加强污水处理设施的日常监管和督促检查，完善水量水质在线监测的设备安装、正常运维、联网监管，建立科学合理的检查考核机制，确保设施安全、稳定、高效、达标运行。推进污水处理厂提标改造，2025年底前，船塘河和平段（礼士河）流域内城镇生活污水处理设施出水标准提升至《城镇污水处理厂污染物排放标准》（GB18918-2002）一级A标准和广东省地方标准《水污染排放限值》（DB44/26-2001）较严值。</w:t>
      </w:r>
      <w:r>
        <w:rPr>
          <w:rFonts w:hint="default" w:ascii="楷体_GB2312" w:hAnsi="楷体_GB2312" w:eastAsia="楷体_GB2312" w:cs="楷体_GB2312"/>
          <w:color w:val="auto"/>
          <w:sz w:val="32"/>
          <w:szCs w:val="32"/>
          <w:highlight w:val="none"/>
        </w:rPr>
        <w:t>（县住建局牵头，县发改局、市生态环境局和平分局、各相关镇参与）</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10．提升农村生活污水治理水平。提升农村生活污水治理率。</w:t>
      </w:r>
      <w:r>
        <w:rPr>
          <w:rFonts w:hint="default" w:ascii="Times New Roman" w:hAnsi="Times New Roman" w:eastAsia="仿宋_GB2312" w:cs="Times New Roman"/>
          <w:color w:val="auto"/>
          <w:sz w:val="32"/>
          <w:szCs w:val="32"/>
          <w:highlight w:val="none"/>
        </w:rPr>
        <w:t>坚持因地制宜、集散结合，优先选用符合农村地区实际、运行费用低、管护简便的污水治理模式，在人口分散的村庄推广污水资源化利用和厌氧式、无动力、小区域的生态处理技术，加快污水收集管网建设，解决城镇周边村庄污水集中处理问题。滚动开展治理情况自查，按国家、省有关要求开展水量、水质监测，建立问题清单台账，限期整改销号。</w:t>
      </w:r>
      <w:r>
        <w:rPr>
          <w:rFonts w:hint="default" w:ascii="Times New Roman" w:hAnsi="Times New Roman" w:eastAsia="仿宋_GB2312" w:cs="Times New Roman"/>
          <w:b/>
          <w:bCs/>
          <w:color w:val="auto"/>
          <w:sz w:val="32"/>
          <w:szCs w:val="32"/>
          <w:highlight w:val="none"/>
        </w:rPr>
        <w:t>深入开展“厕所革命”。</w:t>
      </w:r>
      <w:r>
        <w:rPr>
          <w:rFonts w:hint="default" w:ascii="Times New Roman" w:hAnsi="Times New Roman" w:eastAsia="仿宋_GB2312" w:cs="Times New Roman"/>
          <w:color w:val="auto"/>
          <w:sz w:val="32"/>
          <w:szCs w:val="32"/>
          <w:highlight w:val="none"/>
        </w:rPr>
        <w:t>完成问题户厕及问题公厕全面改造。2025年底前，流域内农村生活污水治理率不低于80%。</w:t>
      </w:r>
      <w:r>
        <w:rPr>
          <w:rFonts w:hint="default" w:ascii="楷体_GB2312" w:hAnsi="楷体_GB2312" w:eastAsia="楷体_GB2312" w:cs="楷体_GB2312"/>
          <w:color w:val="auto"/>
          <w:sz w:val="32"/>
          <w:szCs w:val="32"/>
          <w:highlight w:val="none"/>
        </w:rPr>
        <w:t>（县住建局、县农业农村局按职责分工牵头，市生态环境局和平分局参与）</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楷体_GB2312" w:hAnsi="楷体_GB2312" w:eastAsia="楷体_GB2312" w:cs="楷体_GB2312"/>
          <w:color w:val="auto"/>
          <w:sz w:val="32"/>
          <w:szCs w:val="32"/>
          <w:highlight w:val="none"/>
        </w:rPr>
      </w:pPr>
      <w:r>
        <w:rPr>
          <w:rFonts w:hint="default" w:ascii="Times New Roman" w:hAnsi="Times New Roman" w:eastAsia="仿宋_GB2312" w:cs="Times New Roman"/>
          <w:b/>
          <w:bCs/>
          <w:color w:val="auto"/>
          <w:sz w:val="32"/>
          <w:szCs w:val="32"/>
          <w:highlight w:val="none"/>
        </w:rPr>
        <w:t>11．进一步加强生活垃圾收运处置体系建设。</w:t>
      </w:r>
      <w:r>
        <w:rPr>
          <w:rFonts w:hint="default" w:ascii="Times New Roman" w:hAnsi="Times New Roman" w:eastAsia="仿宋_GB2312" w:cs="Times New Roman"/>
          <w:color w:val="auto"/>
          <w:sz w:val="32"/>
          <w:szCs w:val="32"/>
          <w:highlight w:val="none"/>
        </w:rPr>
        <w:t>完善农村生活垃圾收运处置设施，提高农村生活垃圾收运处置体系运行管理水平。做好垃圾转运站产生的污水、卫生填埋场产生的渗滤液等收集、贮存及处理。统筹衔接城乡生活垃圾收运处置体系、再生资源回收利用体系、有害垃圾收运处置体系，协同推进易腐烂垃圾、厕所粪污、农业生产有机废弃物资源化处理利用，试点建设农村有机废弃物综合处置利用设施。2025年底前，农村生活垃圾无害化处理水平明显提升，有条件的村庄实现生活垃圾分类、源头减量。</w:t>
      </w:r>
      <w:r>
        <w:rPr>
          <w:rFonts w:hint="default" w:ascii="楷体_GB2312" w:hAnsi="楷体_GB2312" w:eastAsia="楷体_GB2312" w:cs="楷体_GB2312"/>
          <w:color w:val="auto"/>
          <w:sz w:val="32"/>
          <w:szCs w:val="32"/>
          <w:highlight w:val="none"/>
        </w:rPr>
        <w:t>（县住建局、县城管综合执法局牵头，县农业农村局、市生态环境局和平分局参与）</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（五）提前预防，削减汛期入河污染负荷</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楷体_GB2312" w:hAnsi="楷体_GB2312" w:eastAsia="楷体_GB2312" w:cs="楷体_GB2312"/>
          <w:color w:val="auto"/>
          <w:sz w:val="32"/>
          <w:szCs w:val="32"/>
          <w:highlight w:val="none"/>
        </w:rPr>
      </w:pPr>
      <w:r>
        <w:rPr>
          <w:rFonts w:hint="default" w:ascii="Times New Roman" w:hAnsi="Times New Roman" w:eastAsia="仿宋_GB2312" w:cs="Times New Roman"/>
          <w:b/>
          <w:bCs/>
          <w:color w:val="auto"/>
          <w:sz w:val="32"/>
          <w:szCs w:val="32"/>
          <w:highlight w:val="none"/>
        </w:rPr>
        <w:t>12．加强汛期面源污染防治。</w:t>
      </w:r>
      <w:r>
        <w:rPr>
          <w:rFonts w:hint="default" w:ascii="Times New Roman" w:hAnsi="Times New Roman" w:eastAsia="仿宋_GB2312" w:cs="Times New Roman"/>
          <w:color w:val="auto"/>
          <w:sz w:val="32"/>
          <w:szCs w:val="32"/>
          <w:highlight w:val="none"/>
        </w:rPr>
        <w:t>强化汛期水质研判，扎实推进城乡面源污染整治，对突出问题实施清单管理，加强多部门协调联动处置。</w:t>
      </w:r>
      <w:r>
        <w:rPr>
          <w:rFonts w:hint="default" w:ascii="楷体_GB2312" w:hAnsi="楷体_GB2312" w:eastAsia="楷体_GB2312" w:cs="楷体_GB2312"/>
          <w:color w:val="auto"/>
          <w:sz w:val="32"/>
          <w:szCs w:val="32"/>
          <w:highlight w:val="none"/>
        </w:rPr>
        <w:t>（市生态环境局和平分局牵头，县住建局、县水务局、县农业农村局等单位按职责分工负责）</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楷体_GB2312" w:cs="Times New Roman"/>
          <w:color w:val="auto"/>
          <w:sz w:val="32"/>
          <w:szCs w:val="32"/>
          <w:highlight w:val="none"/>
        </w:rPr>
      </w:pPr>
      <w:bookmarkStart w:id="3" w:name="OLE_LINK18"/>
      <w:bookmarkStart w:id="4" w:name="OLE_LINK17"/>
      <w:r>
        <w:rPr>
          <w:rFonts w:hint="default" w:ascii="Times New Roman" w:hAnsi="Times New Roman" w:eastAsia="楷体_GB2312" w:cs="Times New Roman"/>
          <w:color w:val="auto"/>
          <w:sz w:val="32"/>
          <w:szCs w:val="32"/>
          <w:highlight w:val="none"/>
        </w:rPr>
        <w:t>（六）多措并举，全面实施生态保护</w:t>
      </w:r>
      <w:bookmarkEnd w:id="3"/>
      <w:bookmarkEnd w:id="4"/>
      <w:r>
        <w:rPr>
          <w:rFonts w:hint="default" w:ascii="Times New Roman" w:hAnsi="Times New Roman" w:eastAsia="楷体_GB2312" w:cs="Times New Roman"/>
          <w:color w:val="auto"/>
          <w:sz w:val="32"/>
          <w:szCs w:val="32"/>
          <w:highlight w:val="none"/>
        </w:rPr>
        <w:t>修复。</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仿宋_GB2312" w:cs="Times New Roman"/>
          <w:color w:val="auto"/>
          <w:sz w:val="32"/>
          <w:szCs w:val="32"/>
          <w:highlight w:val="none"/>
        </w:rPr>
      </w:pPr>
      <w:bookmarkStart w:id="5" w:name="OLE_LINK45"/>
      <w:bookmarkStart w:id="6" w:name="OLE_LINK46"/>
      <w:r>
        <w:rPr>
          <w:rFonts w:hint="default" w:ascii="Times New Roman" w:hAnsi="Times New Roman" w:eastAsia="仿宋_GB2312" w:cs="Times New Roman"/>
          <w:b/>
          <w:bCs/>
          <w:color w:val="auto"/>
          <w:sz w:val="32"/>
          <w:szCs w:val="32"/>
          <w:highlight w:val="none"/>
        </w:rPr>
        <w:t>13．加强流域水生态保护修复。</w:t>
      </w:r>
      <w:r>
        <w:rPr>
          <w:rFonts w:hint="default" w:ascii="Times New Roman" w:hAnsi="Times New Roman" w:eastAsia="仿宋_GB2312" w:cs="Times New Roman"/>
          <w:color w:val="auto"/>
          <w:sz w:val="32"/>
          <w:szCs w:val="32"/>
          <w:highlight w:val="none"/>
        </w:rPr>
        <w:t>加强干、支流生态流量调度与管控，推进河湖水系连通，提升河湖生态流量保障水平。开展船塘河和平段（礼士河）水生态调查与评估。</w:t>
      </w:r>
      <w:r>
        <w:rPr>
          <w:rFonts w:hint="default" w:ascii="楷体_GB2312" w:hAnsi="楷体_GB2312" w:eastAsia="楷体_GB2312" w:cs="楷体_GB2312"/>
          <w:color w:val="auto"/>
          <w:sz w:val="32"/>
          <w:szCs w:val="32"/>
          <w:highlight w:val="none"/>
        </w:rPr>
        <w:t>（县水务局、县农业农村局、县林业局、市生态环境局和平分局按职责分工负责）</w:t>
      </w:r>
    </w:p>
    <w:bookmarkEnd w:id="5"/>
    <w:bookmarkEnd w:id="6"/>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eastAsia" w:ascii="楷体_GB2312" w:hAnsi="楷体_GB2312" w:eastAsia="楷体_GB2312" w:cs="楷体_GB2312"/>
          <w:b/>
          <w:bCs/>
          <w:color w:val="auto"/>
          <w:sz w:val="32"/>
          <w:szCs w:val="32"/>
          <w:highlight w:val="none"/>
        </w:rPr>
      </w:pPr>
      <w:r>
        <w:rPr>
          <w:rFonts w:hint="default" w:ascii="Times New Roman" w:hAnsi="Times New Roman" w:eastAsia="仿宋_GB2312" w:cs="Times New Roman"/>
          <w:b/>
          <w:bCs/>
          <w:color w:val="auto"/>
          <w:sz w:val="32"/>
          <w:szCs w:val="32"/>
          <w:highlight w:val="none"/>
        </w:rPr>
        <w:t>14．加强河湖生态缓冲带保护修复。</w:t>
      </w:r>
      <w:r>
        <w:rPr>
          <w:rFonts w:hint="default" w:ascii="Times New Roman" w:hAnsi="Times New Roman" w:eastAsia="仿宋_GB2312" w:cs="Times New Roman"/>
          <w:color w:val="auto"/>
          <w:sz w:val="32"/>
          <w:szCs w:val="32"/>
          <w:highlight w:val="none"/>
        </w:rPr>
        <w:t>加快划定河湖生态缓冲带，在船塘河和平段（礼士河）试点开展河湖生态缓冲带保护修复。</w:t>
      </w:r>
      <w:r>
        <w:rPr>
          <w:rFonts w:hint="eastAsia" w:ascii="楷体_GB2312" w:hAnsi="楷体_GB2312" w:eastAsia="楷体_GB2312" w:cs="楷体_GB2312"/>
          <w:color w:val="auto"/>
          <w:sz w:val="32"/>
          <w:szCs w:val="32"/>
          <w:highlight w:val="none"/>
        </w:rPr>
        <w:t>（县自然资源局、县水务局、市生态环境局和平分局按职责分工负责）</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楷体_GB2312" w:hAnsi="楷体_GB2312" w:eastAsia="楷体_GB2312" w:cs="楷体_GB2312"/>
          <w:color w:val="auto"/>
          <w:sz w:val="32"/>
          <w:szCs w:val="32"/>
          <w:highlight w:val="none"/>
        </w:rPr>
      </w:pPr>
      <w:r>
        <w:rPr>
          <w:rFonts w:hint="default" w:ascii="Times New Roman" w:hAnsi="Times New Roman" w:eastAsia="仿宋_GB2312" w:cs="Times New Roman"/>
          <w:b/>
          <w:bCs/>
          <w:color w:val="auto"/>
          <w:sz w:val="32"/>
          <w:szCs w:val="32"/>
          <w:highlight w:val="none"/>
        </w:rPr>
        <w:t>1</w:t>
      </w:r>
      <w:r>
        <w:rPr>
          <w:rFonts w:hint="eastAsia"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rPr>
        <w:t>．推进布局不合理的桉树纯林林分优化。</w:t>
      </w:r>
      <w:r>
        <w:rPr>
          <w:rFonts w:hint="default" w:ascii="Times New Roman" w:hAnsi="Times New Roman" w:eastAsia="仿宋_GB2312" w:cs="Times New Roman"/>
          <w:color w:val="auto"/>
          <w:sz w:val="32"/>
          <w:szCs w:val="32"/>
          <w:highlight w:val="none"/>
        </w:rPr>
        <w:t>对船塘河和平段（礼士河）两岸山地第一层山脊线以内的桉树纯林进行林分改造，建设高质量水源涵养林，鼓励、引导桉树商品林林分优化，改种果林的应强化生态治理措施。2025年</w:t>
      </w:r>
      <w:r>
        <w:rPr>
          <w:rFonts w:hint="eastAsia" w:eastAsia="仿宋_GB2312" w:cs="Times New Roman"/>
          <w:color w:val="auto"/>
          <w:sz w:val="32"/>
          <w:szCs w:val="32"/>
          <w:highlight w:val="none"/>
          <w:lang w:eastAsia="zh-CN"/>
        </w:rPr>
        <w:t>前</w:t>
      </w:r>
      <w:r>
        <w:rPr>
          <w:rFonts w:hint="default" w:ascii="Times New Roman" w:hAnsi="Times New Roman" w:eastAsia="仿宋_GB2312" w:cs="Times New Roman"/>
          <w:color w:val="auto"/>
          <w:sz w:val="32"/>
          <w:szCs w:val="32"/>
          <w:highlight w:val="none"/>
        </w:rPr>
        <w:t>安排完成流域内2000亩桉树纯林林分优化任务。</w:t>
      </w:r>
      <w:r>
        <w:rPr>
          <w:rFonts w:hint="default" w:ascii="楷体_GB2312" w:hAnsi="楷体_GB2312" w:eastAsia="楷体_GB2312" w:cs="楷体_GB2312"/>
          <w:color w:val="auto"/>
          <w:sz w:val="32"/>
          <w:szCs w:val="32"/>
          <w:highlight w:val="none"/>
        </w:rPr>
        <w:t>（县林业局负责）</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（七）严格执法，严厉打击环境违法行为。</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楷体_GB2312" w:hAnsi="楷体_GB2312" w:eastAsia="楷体_GB2312" w:cs="楷体_GB2312"/>
          <w:color w:val="auto"/>
          <w:sz w:val="32"/>
          <w:szCs w:val="32"/>
          <w:highlight w:val="none"/>
        </w:rPr>
      </w:pPr>
      <w:r>
        <w:rPr>
          <w:rFonts w:hint="default" w:ascii="Times New Roman" w:hAnsi="Times New Roman" w:eastAsia="仿宋_GB2312" w:cs="Times New Roman"/>
          <w:b/>
          <w:bCs/>
          <w:color w:val="auto"/>
          <w:sz w:val="32"/>
          <w:szCs w:val="32"/>
          <w:highlight w:val="none"/>
        </w:rPr>
        <w:t>1</w:t>
      </w:r>
      <w:r>
        <w:rPr>
          <w:rFonts w:hint="eastAsia" w:eastAsia="仿宋_GB2312" w:cs="Times New Roman"/>
          <w:b/>
          <w:bCs/>
          <w:color w:val="auto"/>
          <w:sz w:val="32"/>
          <w:szCs w:val="32"/>
          <w:highlight w:val="none"/>
          <w:lang w:val="en-US" w:eastAsia="zh-CN"/>
        </w:rPr>
        <w:t>6</w:t>
      </w:r>
      <w:r>
        <w:rPr>
          <w:rFonts w:hint="default" w:ascii="Times New Roman" w:hAnsi="Times New Roman" w:eastAsia="仿宋_GB2312" w:cs="Times New Roman"/>
          <w:b/>
          <w:bCs/>
          <w:color w:val="auto"/>
          <w:sz w:val="32"/>
          <w:szCs w:val="32"/>
          <w:highlight w:val="none"/>
        </w:rPr>
        <w:t>．加强重点企业执法监管。</w:t>
      </w:r>
      <w:r>
        <w:rPr>
          <w:rFonts w:hint="default" w:ascii="Times New Roman" w:hAnsi="Times New Roman" w:eastAsia="仿宋_GB2312" w:cs="Times New Roman"/>
          <w:color w:val="auto"/>
          <w:sz w:val="32"/>
          <w:szCs w:val="32"/>
          <w:highlight w:val="none"/>
        </w:rPr>
        <w:t>对涉水企业实行“双随机、一公开”日常随机抽查，对不达标支流视情开展专项执法。排查流域内涉水重点企业，形成排查问题和整改情况动态清单，依法严惩各类环境违法犯罪行为。完善综合行政执法机制，鼓励创新执法监管方式，提升基层执法效能，推行非现场执法。</w:t>
      </w:r>
      <w:r>
        <w:rPr>
          <w:rFonts w:hint="default" w:ascii="楷体_GB2312" w:hAnsi="楷体_GB2312" w:eastAsia="楷体_GB2312" w:cs="楷体_GB2312"/>
          <w:color w:val="auto"/>
          <w:sz w:val="32"/>
          <w:szCs w:val="32"/>
          <w:highlight w:val="none"/>
        </w:rPr>
        <w:t>（市生态环境局和平分局牵头）</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四、保障措施</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楷体_GB2312" w:cs="Times New Roman"/>
          <w:color w:val="auto"/>
          <w:sz w:val="32"/>
          <w:szCs w:val="32"/>
          <w:highlight w:val="none"/>
        </w:rPr>
        <w:t>（一）加强组织领导。</w:t>
      </w:r>
      <w:r>
        <w:rPr>
          <w:rFonts w:hint="default" w:ascii="Times New Roman" w:hAnsi="Times New Roman" w:eastAsia="仿宋_GB2312" w:cs="Times New Roman"/>
          <w:color w:val="auto"/>
          <w:sz w:val="32"/>
          <w:szCs w:val="32"/>
          <w:highlight w:val="none"/>
        </w:rPr>
        <w:t>建立县统筹、各相关部门为主体</w:t>
      </w:r>
      <w:r>
        <w:rPr>
          <w:rFonts w:hint="default" w:ascii="Times New Roman" w:hAnsi="Times New Roman" w:eastAsia="仿宋_GB2312" w:cs="Times New Roman"/>
          <w:color w:val="auto"/>
          <w:sz w:val="32"/>
          <w:szCs w:val="32"/>
          <w:highlight w:val="none"/>
          <w:lang w:val="en"/>
        </w:rPr>
        <w:t>、各</w:t>
      </w:r>
      <w:r>
        <w:rPr>
          <w:rFonts w:hint="default" w:ascii="Times New Roman" w:hAnsi="Times New Roman" w:eastAsia="仿宋_GB2312" w:cs="Times New Roman"/>
          <w:color w:val="auto"/>
          <w:sz w:val="32"/>
          <w:szCs w:val="32"/>
          <w:highlight w:val="none"/>
        </w:rPr>
        <w:t>镇实施的分级负责机制</w:t>
      </w:r>
      <w:r>
        <w:rPr>
          <w:rFonts w:hint="eastAsia"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lang w:val="en"/>
        </w:rPr>
        <w:t>加强信息</w:t>
      </w:r>
      <w:r>
        <w:rPr>
          <w:rFonts w:hint="default" w:ascii="Times New Roman" w:hAnsi="Times New Roman" w:eastAsia="仿宋_GB2312" w:cs="Times New Roman"/>
          <w:color w:val="auto"/>
          <w:sz w:val="32"/>
          <w:szCs w:val="32"/>
          <w:highlight w:val="none"/>
        </w:rPr>
        <w:t>互通、数据</w:t>
      </w:r>
      <w:r>
        <w:rPr>
          <w:rFonts w:hint="default" w:ascii="Times New Roman" w:hAnsi="Times New Roman" w:eastAsia="仿宋_GB2312" w:cs="Times New Roman"/>
          <w:color w:val="auto"/>
          <w:sz w:val="32"/>
          <w:szCs w:val="32"/>
          <w:highlight w:val="none"/>
          <w:lang w:val="en"/>
        </w:rPr>
        <w:t>共享、</w:t>
      </w:r>
      <w:r>
        <w:rPr>
          <w:rFonts w:hint="default" w:ascii="Times New Roman" w:hAnsi="Times New Roman" w:eastAsia="仿宋_GB2312" w:cs="Times New Roman"/>
          <w:color w:val="auto"/>
          <w:sz w:val="32"/>
          <w:szCs w:val="32"/>
          <w:highlight w:val="none"/>
        </w:rPr>
        <w:t>定期会商、协同推进新丰江流域水生态环境保护；</w:t>
      </w:r>
      <w:r>
        <w:rPr>
          <w:rFonts w:hint="eastAsia" w:eastAsia="仿宋_GB2312" w:cs="Times New Roman"/>
          <w:color w:val="auto"/>
          <w:sz w:val="32"/>
          <w:szCs w:val="32"/>
          <w:highlight w:val="none"/>
          <w:lang w:eastAsia="zh-CN"/>
        </w:rPr>
        <w:t>各镇各部门要</w:t>
      </w:r>
      <w:r>
        <w:rPr>
          <w:rFonts w:hint="default" w:ascii="Times New Roman" w:hAnsi="Times New Roman" w:eastAsia="仿宋_GB2312" w:cs="Times New Roman"/>
          <w:color w:val="auto"/>
          <w:sz w:val="32"/>
          <w:szCs w:val="32"/>
          <w:highlight w:val="none"/>
        </w:rPr>
        <w:t>细化落实方案各项目标任务，加强重点工作谋划，层层压实责任，将方案任务工程落实落细。县相关部门牵头组织各项主责任务，加强沟通协作，及时会商重大问题，要充分发挥各级河湖长制平台作用，统筹协调推进整治工作。东水镇、礼士镇、公白镇、合水镇、青州镇、热水镇、浰源镇等7个镇及县相关职责部门于每年12月30日前将上一年度工作总结和本年度工作计划报市生态环境局和平分局，市生态环境局和平分局统一汇总后向县政府报告。</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（二）强化科技支撑。</w:t>
      </w:r>
      <w:r>
        <w:rPr>
          <w:rFonts w:hint="default" w:ascii="Times New Roman" w:hAnsi="Times New Roman" w:eastAsia="仿宋_GB2312" w:cs="Times New Roman"/>
          <w:color w:val="auto"/>
          <w:sz w:val="32"/>
          <w:szCs w:val="32"/>
          <w:highlight w:val="none"/>
        </w:rPr>
        <w:t>及时研判船塘河和平段（礼士河）水质变化情况，通过实地勘查和</w:t>
      </w:r>
      <w:r>
        <w:rPr>
          <w:rFonts w:hint="eastAsia" w:eastAsia="仿宋_GB2312" w:cs="Times New Roman"/>
          <w:color w:val="auto"/>
          <w:sz w:val="32"/>
          <w:szCs w:val="32"/>
          <w:highlight w:val="none"/>
          <w:lang w:eastAsia="zh-CN"/>
        </w:rPr>
        <w:t>运用先进科技</w:t>
      </w:r>
      <w:r>
        <w:rPr>
          <w:rFonts w:hint="default" w:ascii="Times New Roman" w:hAnsi="Times New Roman" w:eastAsia="仿宋_GB2312" w:cs="Times New Roman"/>
          <w:color w:val="auto"/>
          <w:sz w:val="32"/>
          <w:szCs w:val="32"/>
          <w:highlight w:val="none"/>
        </w:rPr>
        <w:t>手段定位污染源，并</w:t>
      </w:r>
      <w:r>
        <w:rPr>
          <w:rFonts w:hint="eastAsia" w:eastAsia="仿宋_GB2312" w:cs="Times New Roman"/>
          <w:color w:val="auto"/>
          <w:sz w:val="32"/>
          <w:szCs w:val="32"/>
          <w:highlight w:val="none"/>
          <w:lang w:eastAsia="zh-CN"/>
        </w:rPr>
        <w:t>积极</w:t>
      </w:r>
      <w:r>
        <w:rPr>
          <w:rFonts w:hint="default" w:ascii="Times New Roman" w:hAnsi="Times New Roman" w:eastAsia="仿宋_GB2312" w:cs="Times New Roman"/>
          <w:color w:val="auto"/>
          <w:sz w:val="32"/>
          <w:szCs w:val="32"/>
          <w:highlight w:val="none"/>
        </w:rPr>
        <w:t>学习先进经验</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调整策略，采取有效措施，制定针对性治理方案，定期评估治理效果，持续提升治理水平，实现科学、精准治污。</w:t>
      </w:r>
    </w:p>
    <w:p>
      <w:pPr>
        <w:keepNext w:val="0"/>
        <w:keepLines w:val="0"/>
        <w:pageBreakBefore w:val="0"/>
        <w:kinsoku/>
        <w:wordWrap/>
        <w:overflowPunct/>
        <w:topLinePunct w:val="0"/>
        <w:autoSpaceDE/>
        <w:autoSpaceDN/>
        <w:bidi w:val="0"/>
        <w:snapToGrid w:val="0"/>
        <w:spacing w:line="580" w:lineRule="exact"/>
        <w:ind w:firstLine="632" w:firstLineChars="200"/>
        <w:textAlignment w:val="auto"/>
        <w:rPr>
          <w:rFonts w:hint="default" w:ascii="Times New Roman" w:hAnsi="Times New Roman" w:eastAsia="仿宋_GB2312" w:cs="Times New Roman"/>
          <w:color w:val="auto"/>
          <w:spacing w:val="-11"/>
          <w:sz w:val="32"/>
          <w:szCs w:val="32"/>
          <w:highlight w:val="none"/>
        </w:rPr>
      </w:pPr>
      <w:r>
        <w:rPr>
          <w:rFonts w:hint="default" w:ascii="Times New Roman" w:hAnsi="Times New Roman" w:eastAsia="楷体_GB2312" w:cs="Times New Roman"/>
          <w:color w:val="auto"/>
          <w:sz w:val="32"/>
          <w:szCs w:val="32"/>
          <w:highlight w:val="none"/>
        </w:rPr>
        <w:t>（三）强化要素保障。</w:t>
      </w:r>
      <w:r>
        <w:rPr>
          <w:rFonts w:hint="eastAsia" w:eastAsia="仿宋_GB2312" w:cs="Times New Roman"/>
          <w:color w:val="auto"/>
          <w:sz w:val="32"/>
          <w:szCs w:val="32"/>
          <w:highlight w:val="none"/>
          <w:lang w:eastAsia="zh-CN"/>
        </w:rPr>
        <w:t>县相关部门</w:t>
      </w:r>
      <w:r>
        <w:rPr>
          <w:rFonts w:hint="default" w:ascii="Times New Roman" w:hAnsi="Times New Roman" w:eastAsia="仿宋_GB2312" w:cs="Times New Roman"/>
          <w:color w:val="auto"/>
          <w:sz w:val="32"/>
          <w:szCs w:val="32"/>
          <w:highlight w:val="none"/>
        </w:rPr>
        <w:t>要做好财政资金保障工作，</w:t>
      </w:r>
      <w:r>
        <w:rPr>
          <w:rFonts w:hint="eastAsia" w:eastAsia="仿宋_GB2312" w:cs="Times New Roman"/>
          <w:color w:val="auto"/>
          <w:sz w:val="32"/>
          <w:szCs w:val="32"/>
          <w:highlight w:val="none"/>
          <w:lang w:eastAsia="zh-CN"/>
        </w:rPr>
        <w:t>强化资金使用，</w:t>
      </w:r>
      <w:r>
        <w:rPr>
          <w:rFonts w:hint="default" w:ascii="Times New Roman" w:hAnsi="Times New Roman" w:eastAsia="仿宋_GB2312" w:cs="Times New Roman"/>
          <w:color w:val="auto"/>
          <w:sz w:val="32"/>
          <w:szCs w:val="32"/>
          <w:highlight w:val="none"/>
        </w:rPr>
        <w:t>加大对环保项目用地保障力度，做好环境准入服务。</w:t>
      </w:r>
      <w:r>
        <w:rPr>
          <w:rFonts w:hint="eastAsia" w:eastAsia="仿宋_GB2312" w:cs="Times New Roman"/>
          <w:color w:val="auto"/>
          <w:sz w:val="32"/>
          <w:szCs w:val="32"/>
          <w:highlight w:val="none"/>
          <w:lang w:eastAsia="zh-CN"/>
        </w:rPr>
        <w:t>各镇各部门要</w:t>
      </w:r>
      <w:r>
        <w:rPr>
          <w:rFonts w:hint="default" w:ascii="Times New Roman" w:hAnsi="Times New Roman" w:eastAsia="仿宋_GB2312" w:cs="Times New Roman"/>
          <w:color w:val="auto"/>
          <w:sz w:val="32"/>
          <w:szCs w:val="32"/>
          <w:highlight w:val="none"/>
        </w:rPr>
        <w:t>统筹用好东江流域生态环境保护激励资金，积极争取中央、省级</w:t>
      </w:r>
      <w:r>
        <w:rPr>
          <w:rFonts w:hint="eastAsia" w:eastAsia="仿宋_GB2312" w:cs="Times New Roman"/>
          <w:color w:val="auto"/>
          <w:sz w:val="32"/>
          <w:szCs w:val="32"/>
          <w:highlight w:val="none"/>
          <w:lang w:eastAsia="zh-CN"/>
        </w:rPr>
        <w:t>、市级</w:t>
      </w:r>
      <w:r>
        <w:rPr>
          <w:rFonts w:hint="default" w:ascii="Times New Roman" w:hAnsi="Times New Roman" w:eastAsia="仿宋_GB2312" w:cs="Times New Roman"/>
          <w:color w:val="auto"/>
          <w:sz w:val="32"/>
          <w:szCs w:val="32"/>
          <w:highlight w:val="none"/>
        </w:rPr>
        <w:t>专项资金以及专项债、国债项目资金支持，推动重点支撑工程建设落地见效</w:t>
      </w:r>
      <w:r>
        <w:rPr>
          <w:rFonts w:hint="eastAsia"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拓宽融资渠道，引导更多社会资本参与水污染防治，鼓励国有企业发挥技术、资金、管理等优势参与项目建设运营；要合理配置空间资源和生产要素，</w:t>
      </w:r>
      <w:r>
        <w:rPr>
          <w:rFonts w:hint="default" w:ascii="Times New Roman" w:hAnsi="Times New Roman" w:eastAsia="仿宋_GB2312" w:cs="Times New Roman"/>
          <w:color w:val="auto"/>
          <w:spacing w:val="-11"/>
          <w:sz w:val="32"/>
          <w:szCs w:val="32"/>
          <w:highlight w:val="none"/>
        </w:rPr>
        <w:t>推动项目跟着规划走、要素跟着项目走，为项目建设提供有力保障。</w:t>
      </w:r>
    </w:p>
    <w:p>
      <w:pPr>
        <w:keepNext w:val="0"/>
        <w:keepLines w:val="0"/>
        <w:pageBreakBefore w:val="0"/>
        <w:kinsoku/>
        <w:wordWrap/>
        <w:overflowPunct/>
        <w:topLinePunct w:val="0"/>
        <w:autoSpaceDE/>
        <w:autoSpaceDN/>
        <w:bidi w:val="0"/>
        <w:adjustRightInd w:val="0"/>
        <w:snapToGrid w:val="0"/>
        <w:spacing w:line="580" w:lineRule="exact"/>
        <w:ind w:left="2540" w:leftChars="304" w:hanging="1580" w:hangingChars="5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1.和平县新丰江水库主要河流考核目标表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1580" w:firstLineChars="5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2.和平县新丰江水库流域保护主要任务指标表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1580" w:firstLineChars="500"/>
        <w:jc w:val="both"/>
        <w:textAlignment w:val="auto"/>
        <w:rPr>
          <w:rFonts w:hint="default" w:ascii="Times New Roman" w:hAnsi="Times New Roman" w:eastAsia="仿宋_GB2312" w:cs="Times New Roman"/>
          <w:color w:val="auto"/>
          <w:sz w:val="32"/>
          <w:szCs w:val="32"/>
          <w:highlight w:val="none"/>
        </w:rPr>
        <w:sectPr>
          <w:footerReference r:id="rId3" w:type="default"/>
          <w:pgSz w:w="11906" w:h="16838"/>
          <w:pgMar w:top="1984" w:right="1474" w:bottom="1871" w:left="1587" w:header="851" w:footer="992" w:gutter="0"/>
          <w:pgNumType w:fmt="numberInDash" w:start="2"/>
          <w:cols w:space="0" w:num="1"/>
          <w:rtlGutter w:val="0"/>
          <w:docGrid w:type="linesAndChars" w:linePitch="590" w:charSpace="-842"/>
        </w:sectPr>
      </w:pPr>
      <w:r>
        <w:rPr>
          <w:rFonts w:hint="default" w:ascii="Times New Roman" w:hAnsi="Times New Roman" w:eastAsia="仿宋_GB2312" w:cs="Times New Roman"/>
          <w:color w:val="auto"/>
          <w:sz w:val="32"/>
          <w:szCs w:val="32"/>
          <w:highlight w:val="none"/>
        </w:rPr>
        <w:t>3.和平县新丰江水库流域保护重点任务分工表</w:t>
      </w:r>
    </w:p>
    <w:p>
      <w:pPr>
        <w:pStyle w:val="12"/>
        <w:keepNext w:val="0"/>
        <w:keepLines w:val="0"/>
        <w:pageBreakBefore w:val="0"/>
        <w:kinsoku/>
        <w:wordWrap/>
        <w:overflowPunct/>
        <w:topLinePunct w:val="0"/>
        <w:autoSpaceDE/>
        <w:autoSpaceDN/>
        <w:bidi w:val="0"/>
        <w:adjustRightInd/>
        <w:snapToGrid w:val="0"/>
        <w:spacing w:line="580" w:lineRule="exact"/>
        <w:ind w:right="0" w:rightChars="0" w:firstLine="0"/>
        <w:outlineLvl w:val="1"/>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附件1</w:t>
      </w:r>
    </w:p>
    <w:p>
      <w:pPr>
        <w:pStyle w:val="12"/>
        <w:keepNext w:val="0"/>
        <w:keepLines w:val="0"/>
        <w:pageBreakBefore w:val="0"/>
        <w:kinsoku/>
        <w:wordWrap/>
        <w:overflowPunct/>
        <w:topLinePunct w:val="0"/>
        <w:autoSpaceDE/>
        <w:autoSpaceDN/>
        <w:bidi w:val="0"/>
        <w:adjustRightInd/>
        <w:snapToGrid w:val="0"/>
        <w:spacing w:before="315" w:beforeLines="100" w:after="315" w:afterLines="100" w:line="580" w:lineRule="exact"/>
        <w:ind w:left="0" w:leftChars="0" w:right="0" w:rightChars="0" w:firstLine="0" w:firstLineChars="0"/>
        <w:jc w:val="center"/>
        <w:outlineLvl w:val="1"/>
        <w:rPr>
          <w:rFonts w:hint="default" w:ascii="Times New Roman" w:hAnsi="Times New Roman" w:eastAsia="方正小标宋简体" w:cs="Times New Roman"/>
          <w:color w:val="auto"/>
          <w:sz w:val="40"/>
          <w:szCs w:val="40"/>
          <w:highlight w:val="none"/>
        </w:rPr>
      </w:pPr>
      <w:r>
        <w:rPr>
          <w:rFonts w:hint="default" w:ascii="Times New Roman" w:hAnsi="Times New Roman" w:eastAsia="方正小标宋简体" w:cs="Times New Roman"/>
          <w:color w:val="auto"/>
          <w:sz w:val="40"/>
          <w:szCs w:val="40"/>
          <w:highlight w:val="none"/>
        </w:rPr>
        <w:t>和平县新丰江水库主要河流考核目标表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032"/>
        <w:gridCol w:w="1674"/>
        <w:gridCol w:w="2390"/>
        <w:gridCol w:w="1318"/>
        <w:gridCol w:w="1408"/>
        <w:gridCol w:w="1635"/>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7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楷体_GB2312" w:cs="Times New Roman"/>
                <w:b/>
                <w:bCs/>
                <w:color w:val="auto"/>
                <w:kern w:val="0"/>
                <w:sz w:val="22"/>
                <w:szCs w:val="22"/>
                <w:highlight w:val="none"/>
                <w:lang w:bidi="ar"/>
              </w:rPr>
            </w:pPr>
            <w:r>
              <w:rPr>
                <w:rFonts w:hint="eastAsia" w:ascii="Times New Roman" w:hAnsi="Times New Roman" w:eastAsia="楷体_GB2312" w:cs="Times New Roman"/>
                <w:b/>
                <w:bCs/>
                <w:color w:val="auto"/>
                <w:kern w:val="0"/>
                <w:sz w:val="22"/>
                <w:szCs w:val="22"/>
                <w:highlight w:val="none"/>
                <w:lang w:bidi="ar"/>
              </w:rPr>
              <w:t>序号</w:t>
            </w:r>
          </w:p>
        </w:tc>
        <w:tc>
          <w:tcPr>
            <w:tcW w:w="72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楷体_GB2312" w:cs="Times New Roman"/>
                <w:b/>
                <w:bCs/>
                <w:color w:val="auto"/>
                <w:kern w:val="0"/>
                <w:sz w:val="22"/>
                <w:szCs w:val="22"/>
                <w:highlight w:val="none"/>
                <w:lang w:bidi="ar"/>
              </w:rPr>
            </w:pPr>
            <w:r>
              <w:rPr>
                <w:rFonts w:hint="eastAsia" w:ascii="Times New Roman" w:hAnsi="Times New Roman" w:eastAsia="楷体_GB2312" w:cs="Times New Roman"/>
                <w:b/>
                <w:bCs/>
                <w:color w:val="auto"/>
                <w:kern w:val="0"/>
                <w:sz w:val="22"/>
                <w:szCs w:val="22"/>
                <w:highlight w:val="none"/>
                <w:lang w:bidi="ar"/>
              </w:rPr>
              <w:t>河湖名称</w:t>
            </w:r>
          </w:p>
        </w:tc>
        <w:tc>
          <w:tcPr>
            <w:tcW w:w="59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楷体_GB2312" w:cs="Times New Roman"/>
                <w:b/>
                <w:bCs/>
                <w:color w:val="auto"/>
                <w:kern w:val="0"/>
                <w:sz w:val="22"/>
                <w:szCs w:val="22"/>
                <w:highlight w:val="none"/>
                <w:lang w:bidi="ar"/>
              </w:rPr>
            </w:pPr>
            <w:r>
              <w:rPr>
                <w:rFonts w:hint="eastAsia" w:ascii="Times New Roman" w:hAnsi="Times New Roman" w:eastAsia="楷体_GB2312" w:cs="Times New Roman"/>
                <w:b/>
                <w:bCs/>
                <w:color w:val="auto"/>
                <w:kern w:val="0"/>
                <w:sz w:val="22"/>
                <w:szCs w:val="22"/>
                <w:highlight w:val="none"/>
                <w:lang w:bidi="ar"/>
              </w:rPr>
              <w:t>河湖属性</w:t>
            </w:r>
          </w:p>
        </w:tc>
        <w:tc>
          <w:tcPr>
            <w:tcW w:w="85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楷体_GB2312" w:cs="Times New Roman"/>
                <w:b/>
                <w:bCs/>
                <w:color w:val="auto"/>
                <w:kern w:val="0"/>
                <w:sz w:val="22"/>
                <w:szCs w:val="22"/>
                <w:highlight w:val="none"/>
                <w:lang w:bidi="ar"/>
              </w:rPr>
            </w:pPr>
            <w:r>
              <w:rPr>
                <w:rFonts w:hint="eastAsia" w:ascii="Times New Roman" w:hAnsi="Times New Roman" w:eastAsia="楷体_GB2312" w:cs="Times New Roman"/>
                <w:b/>
                <w:bCs/>
                <w:color w:val="auto"/>
                <w:kern w:val="0"/>
                <w:sz w:val="22"/>
                <w:szCs w:val="22"/>
                <w:highlight w:val="none"/>
                <w:lang w:bidi="ar"/>
              </w:rPr>
              <w:t>断面名称</w:t>
            </w:r>
          </w:p>
        </w:tc>
        <w:tc>
          <w:tcPr>
            <w:tcW w:w="47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楷体_GB2312" w:cs="Times New Roman"/>
                <w:b/>
                <w:bCs/>
                <w:color w:val="auto"/>
                <w:kern w:val="0"/>
                <w:sz w:val="22"/>
                <w:szCs w:val="22"/>
                <w:highlight w:val="none"/>
                <w:lang w:bidi="ar"/>
              </w:rPr>
            </w:pPr>
            <w:r>
              <w:rPr>
                <w:rFonts w:hint="eastAsia" w:ascii="Times New Roman" w:hAnsi="Times New Roman" w:eastAsia="楷体_GB2312" w:cs="Times New Roman"/>
                <w:b/>
                <w:bCs/>
                <w:color w:val="auto"/>
                <w:kern w:val="0"/>
                <w:sz w:val="22"/>
                <w:szCs w:val="22"/>
                <w:highlight w:val="none"/>
                <w:lang w:bidi="ar"/>
              </w:rPr>
              <w:t>水质目标</w:t>
            </w:r>
          </w:p>
        </w:tc>
        <w:tc>
          <w:tcPr>
            <w:tcW w:w="1087"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楷体_GB2312" w:cs="Times New Roman"/>
                <w:b/>
                <w:bCs/>
                <w:color w:val="auto"/>
                <w:kern w:val="0"/>
                <w:sz w:val="22"/>
                <w:szCs w:val="22"/>
                <w:highlight w:val="none"/>
                <w:lang w:bidi="ar"/>
              </w:rPr>
            </w:pPr>
            <w:r>
              <w:rPr>
                <w:rFonts w:hint="eastAsia" w:ascii="Times New Roman" w:hAnsi="Times New Roman" w:eastAsia="楷体_GB2312" w:cs="Times New Roman"/>
                <w:b/>
                <w:bCs/>
                <w:color w:val="auto"/>
                <w:kern w:val="0"/>
                <w:sz w:val="22"/>
                <w:szCs w:val="22"/>
                <w:highlight w:val="none"/>
                <w:lang w:bidi="ar"/>
              </w:rPr>
              <w:t>2025年目标（毫克/升）</w:t>
            </w:r>
          </w:p>
        </w:tc>
        <w:tc>
          <w:tcPr>
            <w:tcW w:w="98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楷体_GB2312" w:cs="Times New Roman"/>
                <w:b/>
                <w:bCs/>
                <w:color w:val="auto"/>
                <w:kern w:val="0"/>
                <w:sz w:val="22"/>
                <w:szCs w:val="22"/>
                <w:highlight w:val="none"/>
                <w:lang w:bidi="ar"/>
              </w:rPr>
            </w:pPr>
            <w:r>
              <w:rPr>
                <w:rFonts w:hint="eastAsia" w:ascii="Times New Roman" w:hAnsi="Times New Roman" w:eastAsia="楷体_GB2312" w:cs="Times New Roman"/>
                <w:b/>
                <w:bCs/>
                <w:color w:val="auto"/>
                <w:kern w:val="0"/>
                <w:sz w:val="22"/>
                <w:szCs w:val="22"/>
                <w:highlight w:val="none"/>
                <w:lang w:bidi="ar"/>
              </w:rPr>
              <w:t>责任镇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jc w:val="center"/>
        </w:trPr>
        <w:tc>
          <w:tcPr>
            <w:tcW w:w="27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楷体_GB2312" w:cs="Times New Roman"/>
                <w:b/>
                <w:bCs/>
                <w:color w:val="auto"/>
                <w:kern w:val="0"/>
                <w:sz w:val="22"/>
                <w:szCs w:val="22"/>
                <w:highlight w:val="none"/>
                <w:lang w:bidi="ar"/>
              </w:rPr>
            </w:pPr>
          </w:p>
        </w:tc>
        <w:tc>
          <w:tcPr>
            <w:tcW w:w="72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楷体_GB2312" w:cs="Times New Roman"/>
                <w:b/>
                <w:bCs/>
                <w:color w:val="auto"/>
                <w:kern w:val="0"/>
                <w:sz w:val="22"/>
                <w:szCs w:val="22"/>
                <w:highlight w:val="none"/>
                <w:lang w:bidi="ar"/>
              </w:rPr>
            </w:pPr>
          </w:p>
        </w:tc>
        <w:tc>
          <w:tcPr>
            <w:tcW w:w="59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楷体_GB2312" w:cs="Times New Roman"/>
                <w:b/>
                <w:bCs/>
                <w:color w:val="auto"/>
                <w:kern w:val="0"/>
                <w:sz w:val="22"/>
                <w:szCs w:val="22"/>
                <w:highlight w:val="none"/>
                <w:lang w:bidi="ar"/>
              </w:rPr>
            </w:pPr>
          </w:p>
        </w:tc>
        <w:tc>
          <w:tcPr>
            <w:tcW w:w="85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楷体_GB2312" w:cs="Times New Roman"/>
                <w:b/>
                <w:bCs/>
                <w:color w:val="auto"/>
                <w:kern w:val="0"/>
                <w:sz w:val="22"/>
                <w:szCs w:val="22"/>
                <w:highlight w:val="none"/>
                <w:lang w:bidi="ar"/>
              </w:rPr>
            </w:pPr>
          </w:p>
        </w:tc>
        <w:tc>
          <w:tcPr>
            <w:tcW w:w="47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楷体_GB2312" w:cs="Times New Roman"/>
                <w:b/>
                <w:bCs/>
                <w:color w:val="auto"/>
                <w:kern w:val="0"/>
                <w:sz w:val="22"/>
                <w:szCs w:val="22"/>
                <w:highlight w:val="none"/>
                <w:lang w:bidi="ar"/>
              </w:rPr>
            </w:pPr>
          </w:p>
        </w:tc>
        <w:tc>
          <w:tcPr>
            <w:tcW w:w="503"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楷体_GB2312" w:cs="Times New Roman"/>
                <w:b/>
                <w:bCs/>
                <w:color w:val="auto"/>
                <w:kern w:val="0"/>
                <w:sz w:val="22"/>
                <w:szCs w:val="22"/>
                <w:highlight w:val="none"/>
                <w:lang w:bidi="ar"/>
              </w:rPr>
            </w:pPr>
            <w:r>
              <w:rPr>
                <w:rFonts w:hint="eastAsia" w:ascii="Times New Roman" w:hAnsi="Times New Roman" w:eastAsia="楷体_GB2312" w:cs="Times New Roman"/>
                <w:b/>
                <w:bCs/>
                <w:color w:val="auto"/>
                <w:kern w:val="0"/>
                <w:sz w:val="22"/>
                <w:szCs w:val="22"/>
                <w:highlight w:val="none"/>
                <w:lang w:bidi="ar"/>
              </w:rPr>
              <w:t>总氮</w:t>
            </w:r>
          </w:p>
        </w:tc>
        <w:tc>
          <w:tcPr>
            <w:tcW w:w="584"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楷体_GB2312" w:cs="Times New Roman"/>
                <w:b/>
                <w:bCs/>
                <w:color w:val="auto"/>
                <w:kern w:val="0"/>
                <w:sz w:val="22"/>
                <w:szCs w:val="22"/>
                <w:highlight w:val="none"/>
                <w:lang w:bidi="ar"/>
              </w:rPr>
            </w:pPr>
            <w:r>
              <w:rPr>
                <w:rFonts w:hint="eastAsia" w:ascii="Times New Roman" w:hAnsi="Times New Roman" w:eastAsia="楷体_GB2312" w:cs="Times New Roman"/>
                <w:b/>
                <w:bCs/>
                <w:color w:val="auto"/>
                <w:kern w:val="0"/>
                <w:sz w:val="22"/>
                <w:szCs w:val="22"/>
                <w:highlight w:val="none"/>
                <w:lang w:bidi="ar"/>
              </w:rPr>
              <w:t>总磷</w:t>
            </w:r>
          </w:p>
        </w:tc>
        <w:tc>
          <w:tcPr>
            <w:tcW w:w="98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楷体_GB2312" w:cs="Times New Roman"/>
                <w:b/>
                <w:bCs/>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79"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1</w:t>
            </w:r>
          </w:p>
        </w:tc>
        <w:tc>
          <w:tcPr>
            <w:tcW w:w="726"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新丰江水库</w:t>
            </w:r>
          </w:p>
        </w:tc>
        <w:tc>
          <w:tcPr>
            <w:tcW w:w="598"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库区</w:t>
            </w:r>
          </w:p>
        </w:tc>
        <w:tc>
          <w:tcPr>
            <w:tcW w:w="854"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新丰江水库</w:t>
            </w:r>
          </w:p>
        </w:tc>
        <w:tc>
          <w:tcPr>
            <w:tcW w:w="471"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Ⅰ</w:t>
            </w:r>
          </w:p>
        </w:tc>
        <w:tc>
          <w:tcPr>
            <w:tcW w:w="503"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≤0.3</w:t>
            </w:r>
          </w:p>
        </w:tc>
        <w:tc>
          <w:tcPr>
            <w:tcW w:w="584"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≤0.01</w:t>
            </w:r>
          </w:p>
        </w:tc>
        <w:tc>
          <w:tcPr>
            <w:tcW w:w="98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79"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2</w:t>
            </w:r>
          </w:p>
        </w:tc>
        <w:tc>
          <w:tcPr>
            <w:tcW w:w="726"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船塘河</w:t>
            </w:r>
          </w:p>
        </w:tc>
        <w:tc>
          <w:tcPr>
            <w:tcW w:w="598"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一级支流</w:t>
            </w:r>
          </w:p>
        </w:tc>
        <w:tc>
          <w:tcPr>
            <w:tcW w:w="854"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船塘河和平段</w:t>
            </w:r>
          </w:p>
        </w:tc>
        <w:tc>
          <w:tcPr>
            <w:tcW w:w="471"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Ⅱ</w:t>
            </w:r>
          </w:p>
        </w:tc>
        <w:tc>
          <w:tcPr>
            <w:tcW w:w="503"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≤1.0</w:t>
            </w:r>
          </w:p>
        </w:tc>
        <w:tc>
          <w:tcPr>
            <w:tcW w:w="584"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≤0.1</w:t>
            </w:r>
          </w:p>
        </w:tc>
        <w:tc>
          <w:tcPr>
            <w:tcW w:w="98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仿宋_GB2312" w:cs="Times New Roman"/>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bidi="ar"/>
              </w:rPr>
              <w:t>东水镇、礼士镇</w:t>
            </w:r>
          </w:p>
        </w:tc>
      </w:tr>
    </w:tbl>
    <w:p>
      <w:pPr>
        <w:keepNext w:val="0"/>
        <w:keepLines w:val="0"/>
        <w:pageBreakBefore w:val="0"/>
        <w:kinsoku/>
        <w:wordWrap/>
        <w:overflowPunct/>
        <w:topLinePunct w:val="0"/>
        <w:autoSpaceDE/>
        <w:autoSpaceDN/>
        <w:bidi w:val="0"/>
        <w:adjustRightInd/>
        <w:snapToGrid w:val="0"/>
        <w:spacing w:line="580" w:lineRule="exact"/>
        <w:rPr>
          <w:rFonts w:hint="default" w:ascii="Times New Roman" w:hAnsi="Times New Roman" w:eastAsia="仿宋" w:cs="Times New Roman"/>
          <w:color w:val="auto"/>
          <w:sz w:val="28"/>
          <w:szCs w:val="28"/>
          <w:highlight w:val="none"/>
        </w:rPr>
      </w:pPr>
    </w:p>
    <w:p>
      <w:pPr>
        <w:widowControl/>
        <w:numPr>
          <w:ilvl w:val="255"/>
          <w:numId w:val="0"/>
        </w:num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br w:type="page"/>
      </w:r>
    </w:p>
    <w:p>
      <w:pPr>
        <w:pStyle w:val="12"/>
        <w:keepNext w:val="0"/>
        <w:keepLines w:val="0"/>
        <w:pageBreakBefore w:val="0"/>
        <w:kinsoku/>
        <w:wordWrap/>
        <w:overflowPunct/>
        <w:topLinePunct w:val="0"/>
        <w:autoSpaceDE/>
        <w:autoSpaceDN/>
        <w:bidi w:val="0"/>
        <w:adjustRightInd/>
        <w:snapToGrid w:val="0"/>
        <w:spacing w:line="580" w:lineRule="exact"/>
        <w:ind w:right="0" w:rightChars="0" w:firstLine="0"/>
        <w:outlineLvl w:val="1"/>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附件2</w:t>
      </w:r>
    </w:p>
    <w:p>
      <w:pPr>
        <w:keepNext w:val="0"/>
        <w:keepLines w:val="0"/>
        <w:pageBreakBefore w:val="0"/>
        <w:widowControl w:val="0"/>
        <w:numPr>
          <w:ilvl w:val="5"/>
          <w:numId w:val="0"/>
        </w:numPr>
        <w:kinsoku/>
        <w:wordWrap/>
        <w:overflowPunct/>
        <w:topLinePunct w:val="0"/>
        <w:autoSpaceDE/>
        <w:autoSpaceDN/>
        <w:bidi w:val="0"/>
        <w:adjustRightInd w:val="0"/>
        <w:snapToGrid w:val="0"/>
        <w:spacing w:before="316" w:beforeLines="100" w:after="316" w:afterLines="100" w:line="560" w:lineRule="exact"/>
        <w:ind w:firstLine="2779" w:firstLineChars="700"/>
        <w:jc w:val="both"/>
        <w:textAlignment w:val="auto"/>
        <w:outlineLvl w:val="1"/>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和平县新丰江水库流域保护主要任务指标表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025"/>
        <w:gridCol w:w="6295"/>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楷体_GB2312" w:cs="Times New Roman"/>
                <w:b/>
                <w:bCs/>
                <w:color w:val="auto"/>
                <w:kern w:val="0"/>
                <w:sz w:val="22"/>
                <w:szCs w:val="22"/>
                <w:highlight w:val="none"/>
                <w:lang w:bidi="ar"/>
              </w:rPr>
            </w:pPr>
            <w:r>
              <w:rPr>
                <w:rFonts w:hint="default" w:ascii="Times New Roman" w:hAnsi="Times New Roman" w:eastAsia="楷体_GB2312" w:cs="Times New Roman"/>
                <w:b/>
                <w:bCs/>
                <w:color w:val="auto"/>
                <w:kern w:val="0"/>
                <w:sz w:val="22"/>
                <w:szCs w:val="22"/>
                <w:highlight w:val="none"/>
                <w:lang w:bidi="ar"/>
              </w:rPr>
              <w:t>序号</w:t>
            </w:r>
          </w:p>
        </w:tc>
        <w:tc>
          <w:tcPr>
            <w:tcW w:w="20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楷体_GB2312" w:cs="Times New Roman"/>
                <w:b/>
                <w:bCs/>
                <w:color w:val="auto"/>
                <w:kern w:val="0"/>
                <w:sz w:val="22"/>
                <w:szCs w:val="22"/>
                <w:highlight w:val="none"/>
                <w:lang w:bidi="ar"/>
              </w:rPr>
            </w:pPr>
            <w:r>
              <w:rPr>
                <w:rFonts w:hint="default" w:ascii="Times New Roman" w:hAnsi="Times New Roman" w:eastAsia="楷体_GB2312" w:cs="Times New Roman"/>
                <w:b/>
                <w:bCs/>
                <w:color w:val="auto"/>
                <w:kern w:val="0"/>
                <w:sz w:val="22"/>
                <w:szCs w:val="22"/>
                <w:highlight w:val="none"/>
                <w:lang w:bidi="ar"/>
              </w:rPr>
              <w:t>一级指标</w:t>
            </w:r>
          </w:p>
        </w:tc>
        <w:tc>
          <w:tcPr>
            <w:tcW w:w="629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楷体_GB2312" w:cs="Times New Roman"/>
                <w:b/>
                <w:bCs/>
                <w:color w:val="auto"/>
                <w:kern w:val="0"/>
                <w:sz w:val="22"/>
                <w:szCs w:val="22"/>
                <w:highlight w:val="none"/>
                <w:lang w:bidi="ar"/>
              </w:rPr>
            </w:pPr>
            <w:r>
              <w:rPr>
                <w:rFonts w:hint="default" w:ascii="Times New Roman" w:hAnsi="Times New Roman" w:eastAsia="楷体_GB2312" w:cs="Times New Roman"/>
                <w:b/>
                <w:bCs/>
                <w:color w:val="auto"/>
                <w:kern w:val="0"/>
                <w:sz w:val="22"/>
                <w:szCs w:val="22"/>
                <w:highlight w:val="none"/>
                <w:lang w:bidi="ar"/>
              </w:rPr>
              <w:t>二级指标</w:t>
            </w:r>
          </w:p>
        </w:tc>
        <w:tc>
          <w:tcPr>
            <w:tcW w:w="283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楷体_GB2312" w:cs="Times New Roman"/>
                <w:b/>
                <w:bCs/>
                <w:color w:val="auto"/>
                <w:kern w:val="0"/>
                <w:sz w:val="22"/>
                <w:szCs w:val="22"/>
                <w:highlight w:val="none"/>
                <w:lang w:val="en-US" w:eastAsia="zh-CN" w:bidi="ar"/>
              </w:rPr>
            </w:pPr>
            <w:r>
              <w:rPr>
                <w:rFonts w:hint="default" w:ascii="Times New Roman" w:hAnsi="Times New Roman" w:eastAsia="楷体_GB2312" w:cs="Times New Roman"/>
                <w:b/>
                <w:bCs/>
                <w:color w:val="auto"/>
                <w:kern w:val="0"/>
                <w:sz w:val="22"/>
                <w:szCs w:val="22"/>
                <w:highlight w:val="none"/>
                <w:lang w:bidi="ar"/>
              </w:rPr>
              <w:t>2025年</w:t>
            </w:r>
            <w:r>
              <w:rPr>
                <w:rFonts w:hint="default" w:ascii="Times New Roman" w:hAnsi="Times New Roman" w:eastAsia="楷体_GB2312" w:cs="Times New Roman"/>
                <w:b/>
                <w:bCs/>
                <w:color w:val="auto"/>
                <w:kern w:val="0"/>
                <w:sz w:val="22"/>
                <w:szCs w:val="22"/>
                <w:highlight w:val="none"/>
                <w:lang w:val="en-US" w:eastAsia="zh-CN" w:bidi="ar"/>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w:t>
            </w:r>
          </w:p>
        </w:tc>
        <w:tc>
          <w:tcPr>
            <w:tcW w:w="2025"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畜禽养殖</w:t>
            </w:r>
          </w:p>
        </w:tc>
        <w:tc>
          <w:tcPr>
            <w:tcW w:w="62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禁养区面积（</w:t>
            </w:r>
            <w:r>
              <w:rPr>
                <w:rFonts w:hint="eastAsia" w:ascii="Times New Roman" w:hAnsi="Times New Roman" w:eastAsia="仿宋_GB2312" w:cs="Times New Roman"/>
                <w:color w:val="auto"/>
                <w:kern w:val="0"/>
                <w:sz w:val="24"/>
                <w:szCs w:val="24"/>
                <w:highlight w:val="none"/>
                <w:lang w:eastAsia="zh-CN" w:bidi="ar"/>
              </w:rPr>
              <w:t>平方公里</w:t>
            </w:r>
            <w:r>
              <w:rPr>
                <w:rFonts w:hint="default" w:ascii="Times New Roman" w:hAnsi="Times New Roman" w:eastAsia="仿宋_GB2312" w:cs="Times New Roman"/>
                <w:color w:val="auto"/>
                <w:kern w:val="0"/>
                <w:sz w:val="24"/>
                <w:szCs w:val="24"/>
                <w:highlight w:val="none"/>
                <w:lang w:bidi="ar"/>
              </w:rPr>
              <w:t>）</w:t>
            </w:r>
          </w:p>
        </w:tc>
        <w:tc>
          <w:tcPr>
            <w:tcW w:w="2833"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w:t>
            </w:r>
            <w:r>
              <w:rPr>
                <w:rFonts w:hint="default" w:ascii="Times New Roman" w:hAnsi="Times New Roman" w:eastAsia="仿宋_GB2312" w:cs="Times New Roman"/>
                <w:color w:val="auto"/>
                <w:kern w:val="0"/>
                <w:sz w:val="24"/>
                <w:szCs w:val="24"/>
                <w:highlight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p>
        </w:tc>
        <w:tc>
          <w:tcPr>
            <w:tcW w:w="202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p>
        </w:tc>
        <w:tc>
          <w:tcPr>
            <w:tcW w:w="62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畜禽粪污综合利用率（%）</w:t>
            </w:r>
          </w:p>
        </w:tc>
        <w:tc>
          <w:tcPr>
            <w:tcW w:w="2833"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bidi="ar"/>
              </w:rPr>
              <w:t>≥</w:t>
            </w:r>
            <w:r>
              <w:rPr>
                <w:rFonts w:hint="default" w:ascii="Times New Roman" w:hAnsi="Times New Roman" w:eastAsia="仿宋_GB2312" w:cs="Times New Roman"/>
                <w:color w:val="auto"/>
                <w:kern w:val="0"/>
                <w:sz w:val="24"/>
                <w:szCs w:val="24"/>
                <w:highlight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w:t>
            </w:r>
          </w:p>
        </w:tc>
        <w:tc>
          <w:tcPr>
            <w:tcW w:w="202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农业面源</w:t>
            </w:r>
          </w:p>
        </w:tc>
        <w:tc>
          <w:tcPr>
            <w:tcW w:w="62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主要农作物测土配方施肥技术覆盖率（%）</w:t>
            </w:r>
          </w:p>
        </w:tc>
        <w:tc>
          <w:tcPr>
            <w:tcW w:w="2833"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bidi="ar"/>
              </w:rPr>
              <w:t>≥</w:t>
            </w:r>
            <w:r>
              <w:rPr>
                <w:rFonts w:hint="default" w:ascii="Times New Roman" w:hAnsi="Times New Roman" w:eastAsia="仿宋_GB2312" w:cs="Times New Roman"/>
                <w:color w:val="auto"/>
                <w:kern w:val="0"/>
                <w:sz w:val="24"/>
                <w:szCs w:val="24"/>
                <w:highlight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w:t>
            </w:r>
          </w:p>
        </w:tc>
        <w:tc>
          <w:tcPr>
            <w:tcW w:w="2025"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生活污染</w:t>
            </w:r>
          </w:p>
        </w:tc>
        <w:tc>
          <w:tcPr>
            <w:tcW w:w="62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镇级污水处理能力（万</w:t>
            </w:r>
            <w:r>
              <w:rPr>
                <w:rFonts w:hint="default" w:ascii="Times New Roman" w:hAnsi="Times New Roman" w:eastAsia="仿宋_GB2312" w:cs="Times New Roman"/>
                <w:color w:val="auto"/>
                <w:kern w:val="0"/>
                <w:sz w:val="24"/>
                <w:szCs w:val="24"/>
                <w:highlight w:val="none"/>
                <w:lang w:eastAsia="zh-CN" w:bidi="ar"/>
              </w:rPr>
              <w:t>t/d</w:t>
            </w:r>
            <w:r>
              <w:rPr>
                <w:rFonts w:hint="default" w:ascii="Times New Roman" w:hAnsi="Times New Roman" w:eastAsia="仿宋_GB2312" w:cs="Times New Roman"/>
                <w:color w:val="auto"/>
                <w:kern w:val="0"/>
                <w:sz w:val="24"/>
                <w:szCs w:val="24"/>
                <w:highlight w:val="none"/>
                <w:lang w:bidi="ar"/>
              </w:rPr>
              <w:t>）</w:t>
            </w:r>
          </w:p>
        </w:tc>
        <w:tc>
          <w:tcPr>
            <w:tcW w:w="2833"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p>
        </w:tc>
        <w:tc>
          <w:tcPr>
            <w:tcW w:w="2025"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p>
        </w:tc>
        <w:tc>
          <w:tcPr>
            <w:tcW w:w="62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镇级配套污水管网长度（</w:t>
            </w:r>
            <w:r>
              <w:rPr>
                <w:rFonts w:hint="default" w:ascii="Times New Roman" w:hAnsi="Times New Roman" w:eastAsia="仿宋_GB2312" w:cs="Times New Roman"/>
                <w:color w:val="auto"/>
                <w:kern w:val="0"/>
                <w:sz w:val="24"/>
                <w:szCs w:val="24"/>
                <w:highlight w:val="none"/>
                <w:lang w:eastAsia="zh-CN" w:bidi="ar"/>
              </w:rPr>
              <w:t>km</w:t>
            </w:r>
            <w:r>
              <w:rPr>
                <w:rFonts w:hint="default" w:ascii="Times New Roman" w:hAnsi="Times New Roman" w:eastAsia="仿宋_GB2312" w:cs="Times New Roman"/>
                <w:color w:val="auto"/>
                <w:kern w:val="0"/>
                <w:sz w:val="24"/>
                <w:szCs w:val="24"/>
                <w:highlight w:val="none"/>
                <w:lang w:bidi="ar"/>
              </w:rPr>
              <w:t>）</w:t>
            </w:r>
          </w:p>
        </w:tc>
        <w:tc>
          <w:tcPr>
            <w:tcW w:w="2833"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p>
        </w:tc>
        <w:tc>
          <w:tcPr>
            <w:tcW w:w="2025"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p>
        </w:tc>
        <w:tc>
          <w:tcPr>
            <w:tcW w:w="62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城镇生活污水处理厂负荷率（%）</w:t>
            </w:r>
          </w:p>
        </w:tc>
        <w:tc>
          <w:tcPr>
            <w:tcW w:w="2833"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p>
        </w:tc>
        <w:tc>
          <w:tcPr>
            <w:tcW w:w="2025"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p>
        </w:tc>
        <w:tc>
          <w:tcPr>
            <w:tcW w:w="62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农村生活污水治理率（%）</w:t>
            </w:r>
          </w:p>
        </w:tc>
        <w:tc>
          <w:tcPr>
            <w:tcW w:w="2833"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w:t>
            </w:r>
            <w:r>
              <w:rPr>
                <w:rFonts w:hint="default" w:ascii="Times New Roman" w:hAnsi="Times New Roman" w:eastAsia="仿宋_GB2312" w:cs="Times New Roman"/>
                <w:color w:val="auto"/>
                <w:kern w:val="0"/>
                <w:sz w:val="24"/>
                <w:szCs w:val="24"/>
                <w:highlight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p>
        </w:tc>
        <w:tc>
          <w:tcPr>
            <w:tcW w:w="2025"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p>
        </w:tc>
        <w:tc>
          <w:tcPr>
            <w:tcW w:w="62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农村生活垃圾无害化处理率和资源化利用率（%）</w:t>
            </w:r>
          </w:p>
        </w:tc>
        <w:tc>
          <w:tcPr>
            <w:tcW w:w="2833"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w:t>
            </w:r>
            <w:r>
              <w:rPr>
                <w:rFonts w:hint="default" w:ascii="Times New Roman" w:hAnsi="Times New Roman" w:eastAsia="仿宋_GB2312" w:cs="Times New Roman"/>
                <w:color w:val="auto"/>
                <w:kern w:val="0"/>
                <w:sz w:val="24"/>
                <w:szCs w:val="24"/>
                <w:highlight w:val="none"/>
                <w:lang w:val="en-US" w:eastAsia="zh-CN" w:bidi="ar"/>
              </w:rPr>
              <w:t>9</w:t>
            </w:r>
            <w:r>
              <w:rPr>
                <w:rFonts w:hint="default" w:ascii="Times New Roman" w:hAnsi="Times New Roman" w:eastAsia="仿宋_GB2312" w:cs="Times New Roman"/>
                <w:color w:val="auto"/>
                <w:kern w:val="0"/>
                <w:sz w:val="24"/>
                <w:szCs w:val="24"/>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4</w:t>
            </w:r>
          </w:p>
        </w:tc>
        <w:tc>
          <w:tcPr>
            <w:tcW w:w="2025"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生态修复</w:t>
            </w:r>
          </w:p>
        </w:tc>
        <w:tc>
          <w:tcPr>
            <w:tcW w:w="62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桉树林</w:t>
            </w:r>
            <w:r>
              <w:rPr>
                <w:rFonts w:hint="default" w:ascii="Times New Roman" w:hAnsi="Times New Roman" w:eastAsia="仿宋_GB2312" w:cs="Times New Roman"/>
                <w:color w:val="auto"/>
                <w:kern w:val="0"/>
                <w:sz w:val="24"/>
                <w:szCs w:val="24"/>
                <w:highlight w:val="none"/>
                <w:lang w:val="en-US" w:eastAsia="zh-CN" w:bidi="ar"/>
              </w:rPr>
              <w:t>林分提升</w:t>
            </w:r>
            <w:r>
              <w:rPr>
                <w:rFonts w:hint="default" w:ascii="Times New Roman" w:hAnsi="Times New Roman" w:eastAsia="仿宋_GB2312" w:cs="Times New Roman"/>
                <w:color w:val="auto"/>
                <w:kern w:val="0"/>
                <w:sz w:val="24"/>
                <w:szCs w:val="24"/>
                <w:highlight w:val="none"/>
                <w:lang w:bidi="ar"/>
              </w:rPr>
              <w:t>面积（万亩）</w:t>
            </w:r>
          </w:p>
        </w:tc>
        <w:tc>
          <w:tcPr>
            <w:tcW w:w="2833"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p>
        </w:tc>
        <w:tc>
          <w:tcPr>
            <w:tcW w:w="2025"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p>
        </w:tc>
        <w:tc>
          <w:tcPr>
            <w:tcW w:w="62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历史遗留矿山修复面积（亩）</w:t>
            </w:r>
          </w:p>
        </w:tc>
        <w:tc>
          <w:tcPr>
            <w:tcW w:w="2833"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w:t>
            </w:r>
          </w:p>
        </w:tc>
      </w:tr>
    </w:tbl>
    <w:p>
      <w:pPr>
        <w:keepNext w:val="0"/>
        <w:keepLines w:val="0"/>
        <w:pageBreakBefore w:val="0"/>
        <w:widowControl/>
        <w:numPr>
          <w:ilvl w:val="255"/>
          <w:numId w:val="0"/>
        </w:numPr>
        <w:kinsoku/>
        <w:wordWrap/>
        <w:overflowPunct/>
        <w:topLinePunct w:val="0"/>
        <w:autoSpaceDE/>
        <w:autoSpaceDN/>
        <w:bidi w:val="0"/>
        <w:snapToGrid w:val="0"/>
        <w:spacing w:line="580" w:lineRule="exact"/>
        <w:rPr>
          <w:rFonts w:hint="default" w:ascii="Times New Roman" w:hAnsi="Times New Roman" w:eastAsia="仿宋_GB2312" w:cs="Times New Roman"/>
          <w:color w:val="auto"/>
          <w:sz w:val="28"/>
          <w:szCs w:val="28"/>
          <w:highlight w:val="none"/>
        </w:rPr>
        <w:sectPr>
          <w:pgSz w:w="16838" w:h="11905" w:orient="landscape"/>
          <w:pgMar w:top="1984" w:right="1474" w:bottom="1871" w:left="1587" w:header="851" w:footer="992" w:gutter="0"/>
          <w:pgNumType w:fmt="numberInDash"/>
          <w:cols w:space="0" w:num="1"/>
          <w:rtlGutter w:val="0"/>
          <w:docGrid w:type="linesAndChars" w:linePitch="632" w:charSpace="-819"/>
        </w:sectPr>
      </w:pPr>
    </w:p>
    <w:p>
      <w:pPr>
        <w:pStyle w:val="12"/>
        <w:keepNext w:val="0"/>
        <w:keepLines w:val="0"/>
        <w:pageBreakBefore w:val="0"/>
        <w:kinsoku/>
        <w:wordWrap/>
        <w:overflowPunct/>
        <w:topLinePunct w:val="0"/>
        <w:autoSpaceDE/>
        <w:autoSpaceDN/>
        <w:bidi w:val="0"/>
        <w:adjustRightInd/>
        <w:snapToGrid w:val="0"/>
        <w:spacing w:line="580" w:lineRule="exact"/>
        <w:ind w:right="0" w:rightChars="0" w:firstLine="0"/>
        <w:outlineLvl w:val="1"/>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附件3</w:t>
      </w:r>
    </w:p>
    <w:p>
      <w:pPr>
        <w:keepNext w:val="0"/>
        <w:keepLines w:val="0"/>
        <w:pageBreakBefore w:val="0"/>
        <w:numPr>
          <w:ilvl w:val="5"/>
          <w:numId w:val="0"/>
        </w:numPr>
        <w:kinsoku/>
        <w:wordWrap/>
        <w:overflowPunct/>
        <w:topLinePunct w:val="0"/>
        <w:autoSpaceDE/>
        <w:autoSpaceDN/>
        <w:bidi w:val="0"/>
        <w:adjustRightInd w:val="0"/>
        <w:snapToGrid w:val="0"/>
        <w:spacing w:before="315" w:beforeLines="100" w:after="315" w:afterLines="100" w:line="580" w:lineRule="exact"/>
        <w:jc w:val="center"/>
        <w:outlineLvl w:val="1"/>
        <w:rPr>
          <w:rFonts w:hint="default" w:ascii="Times New Roman" w:hAnsi="Times New Roman" w:eastAsia="方正小标宋简体" w:cs="Times New Roman"/>
          <w:color w:val="auto"/>
          <w:kern w:val="2"/>
          <w:sz w:val="40"/>
          <w:szCs w:val="40"/>
          <w:highlight w:val="none"/>
          <w:lang w:val="en-US" w:eastAsia="zh-CN" w:bidi="ar-SA"/>
        </w:rPr>
      </w:pPr>
      <w:r>
        <w:rPr>
          <w:rFonts w:hint="default" w:ascii="Times New Roman" w:hAnsi="Times New Roman" w:eastAsia="方正小标宋简体" w:cs="Times New Roman"/>
          <w:color w:val="auto"/>
          <w:kern w:val="2"/>
          <w:sz w:val="40"/>
          <w:szCs w:val="40"/>
          <w:highlight w:val="none"/>
          <w:lang w:val="en-US" w:eastAsia="zh-CN" w:bidi="ar-SA"/>
        </w:rPr>
        <w:t>和平县新丰江水库流域保护重点任务分工表</w:t>
      </w:r>
    </w:p>
    <w:tbl>
      <w:tblPr>
        <w:tblStyle w:val="23"/>
        <w:tblW w:w="0" w:type="auto"/>
        <w:jc w:val="center"/>
        <w:tblLayout w:type="fixed"/>
        <w:tblCellMar>
          <w:top w:w="0" w:type="dxa"/>
          <w:left w:w="108" w:type="dxa"/>
          <w:bottom w:w="0" w:type="dxa"/>
          <w:right w:w="108" w:type="dxa"/>
        </w:tblCellMar>
      </w:tblPr>
      <w:tblGrid>
        <w:gridCol w:w="690"/>
        <w:gridCol w:w="6555"/>
        <w:gridCol w:w="1896"/>
        <w:gridCol w:w="2836"/>
        <w:gridCol w:w="1222"/>
      </w:tblGrid>
      <w:tr>
        <w:tblPrEx>
          <w:tblCellMar>
            <w:top w:w="0" w:type="dxa"/>
            <w:left w:w="108" w:type="dxa"/>
            <w:bottom w:w="0" w:type="dxa"/>
            <w:right w:w="108" w:type="dxa"/>
          </w:tblCellMar>
        </w:tblPrEx>
        <w:trPr>
          <w:trHeight w:val="1013" w:hRule="atLeast"/>
          <w:tblHeader/>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楷体_GB2312" w:cs="Times New Roman"/>
                <w:b/>
                <w:bCs/>
                <w:color w:val="auto"/>
                <w:kern w:val="0"/>
                <w:sz w:val="22"/>
                <w:szCs w:val="22"/>
                <w:highlight w:val="none"/>
                <w:lang w:bidi="ar"/>
              </w:rPr>
            </w:pPr>
            <w:r>
              <w:rPr>
                <w:rFonts w:hint="default" w:ascii="Times New Roman" w:hAnsi="Times New Roman" w:eastAsia="楷体_GB2312" w:cs="Times New Roman"/>
                <w:b/>
                <w:bCs/>
                <w:color w:val="auto"/>
                <w:kern w:val="0"/>
                <w:sz w:val="22"/>
                <w:szCs w:val="22"/>
                <w:highlight w:val="none"/>
                <w:lang w:bidi="ar"/>
              </w:rPr>
              <w:t>序号</w:t>
            </w:r>
          </w:p>
        </w:tc>
        <w:tc>
          <w:tcPr>
            <w:tcW w:w="6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楷体_GB2312" w:cs="Times New Roman"/>
                <w:b/>
                <w:bCs/>
                <w:color w:val="auto"/>
                <w:kern w:val="0"/>
                <w:sz w:val="22"/>
                <w:szCs w:val="22"/>
                <w:highlight w:val="none"/>
                <w:lang w:bidi="ar"/>
              </w:rPr>
            </w:pPr>
            <w:r>
              <w:rPr>
                <w:rFonts w:hint="default" w:ascii="Times New Roman" w:hAnsi="Times New Roman" w:eastAsia="楷体_GB2312" w:cs="Times New Roman"/>
                <w:b/>
                <w:bCs/>
                <w:color w:val="auto"/>
                <w:kern w:val="0"/>
                <w:sz w:val="22"/>
                <w:szCs w:val="22"/>
                <w:highlight w:val="none"/>
                <w:lang w:bidi="ar"/>
              </w:rPr>
              <w:t>任务内容</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楷体_GB2312" w:cs="Times New Roman"/>
                <w:b/>
                <w:bCs/>
                <w:color w:val="auto"/>
                <w:kern w:val="0"/>
                <w:sz w:val="22"/>
                <w:szCs w:val="22"/>
                <w:highlight w:val="none"/>
                <w:lang w:bidi="ar"/>
              </w:rPr>
            </w:pPr>
            <w:r>
              <w:rPr>
                <w:rFonts w:hint="default" w:ascii="Times New Roman" w:hAnsi="Times New Roman" w:eastAsia="楷体_GB2312" w:cs="Times New Roman"/>
                <w:b/>
                <w:bCs/>
                <w:color w:val="auto"/>
                <w:kern w:val="0"/>
                <w:sz w:val="22"/>
                <w:szCs w:val="22"/>
                <w:highlight w:val="none"/>
                <w:lang w:bidi="ar"/>
              </w:rPr>
              <w:t>业务主管部门</w:t>
            </w: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楷体_GB2312" w:cs="Times New Roman"/>
                <w:b/>
                <w:bCs/>
                <w:color w:val="auto"/>
                <w:kern w:val="0"/>
                <w:sz w:val="22"/>
                <w:szCs w:val="22"/>
                <w:highlight w:val="none"/>
                <w:lang w:bidi="ar"/>
              </w:rPr>
            </w:pPr>
            <w:r>
              <w:rPr>
                <w:rFonts w:hint="default" w:ascii="Times New Roman" w:hAnsi="Times New Roman" w:eastAsia="楷体_GB2312" w:cs="Times New Roman"/>
                <w:b/>
                <w:bCs/>
                <w:color w:val="auto"/>
                <w:kern w:val="0"/>
                <w:sz w:val="22"/>
                <w:szCs w:val="22"/>
                <w:highlight w:val="none"/>
                <w:lang w:bidi="ar"/>
              </w:rPr>
              <w:t>重点责任镇</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楷体_GB2312" w:cs="Times New Roman"/>
                <w:b/>
                <w:bCs/>
                <w:color w:val="auto"/>
                <w:kern w:val="0"/>
                <w:sz w:val="22"/>
                <w:szCs w:val="22"/>
                <w:highlight w:val="none"/>
                <w:lang w:bidi="ar"/>
              </w:rPr>
            </w:pPr>
            <w:r>
              <w:rPr>
                <w:rFonts w:hint="default" w:ascii="Times New Roman" w:hAnsi="Times New Roman" w:eastAsia="楷体_GB2312" w:cs="Times New Roman"/>
                <w:b/>
                <w:bCs/>
                <w:color w:val="auto"/>
                <w:kern w:val="0"/>
                <w:sz w:val="22"/>
                <w:szCs w:val="22"/>
                <w:highlight w:val="none"/>
                <w:lang w:bidi="ar"/>
              </w:rPr>
              <w:t>时间期限</w:t>
            </w:r>
          </w:p>
        </w:tc>
      </w:tr>
      <w:tr>
        <w:tblPrEx>
          <w:tblCellMar>
            <w:top w:w="0" w:type="dxa"/>
            <w:left w:w="108" w:type="dxa"/>
            <w:bottom w:w="0" w:type="dxa"/>
            <w:right w:w="108" w:type="dxa"/>
          </w:tblCellMar>
        </w:tblPrEx>
        <w:trPr>
          <w:trHeight w:val="19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加强河湖水域岸线空间管控。落实河湖“清四乱”常态化规范化机制，贯彻执行水利部“严禁以各种名义围湖造地、非法围垦河道”等有关指导意见。</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县水务局</w:t>
            </w: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东水镇、礼士镇、公白镇、合水镇、青州镇、热水镇、浰源镇</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持续开展</w:t>
            </w:r>
          </w:p>
        </w:tc>
      </w:tr>
      <w:tr>
        <w:tblPrEx>
          <w:tblCellMar>
            <w:top w:w="0" w:type="dxa"/>
            <w:left w:w="108" w:type="dxa"/>
            <w:bottom w:w="0" w:type="dxa"/>
            <w:right w:w="108" w:type="dxa"/>
          </w:tblCellMar>
        </w:tblPrEx>
        <w:trPr>
          <w:trHeight w:val="1715"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定期开展畜禽养殖污染问题专项整治行动，依法查处无证排污、禁养区建设规模养殖场等环境违法行为，推进环境问题整改。</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市生态环境局和平分局</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东水镇、礼士镇、公白镇、合水镇、青州镇、热水镇、浰源镇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持续开展</w:t>
            </w:r>
          </w:p>
        </w:tc>
      </w:tr>
      <w:tr>
        <w:tblPrEx>
          <w:tblCellMar>
            <w:top w:w="0" w:type="dxa"/>
            <w:left w:w="108" w:type="dxa"/>
            <w:bottom w:w="0" w:type="dxa"/>
            <w:right w:w="108" w:type="dxa"/>
          </w:tblCellMar>
        </w:tblPrEx>
        <w:trPr>
          <w:trHeight w:val="1026"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及时准确掌握禽养殖场（户）动态基础信息数据，建立畜禽养殖动态信息通报制度。开展设施装备配套情况核查与整改工作，推动养殖场（户）粪污处理设施装备提档升级改造，劝退限期改造后仍不符合要求的畜禽养殖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县农业农村局</w:t>
            </w: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东水镇、礼士镇、公白镇、合水镇、青州镇、热水镇、浰源镇</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2025年</w:t>
            </w:r>
          </w:p>
        </w:tc>
      </w:tr>
      <w:tr>
        <w:tblPrEx>
          <w:tblCellMar>
            <w:top w:w="0" w:type="dxa"/>
            <w:left w:w="108" w:type="dxa"/>
            <w:bottom w:w="0" w:type="dxa"/>
            <w:right w:w="108" w:type="dxa"/>
          </w:tblCellMar>
        </w:tblPrEx>
        <w:trPr>
          <w:trHeight w:val="2585"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4</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开展城镇污水管网提质增效专项行动，查清现有管网问题并分批次完成修复和改造，补齐城镇污水厂配套管网缺口。实现流域内城镇生活污水处理厂负荷率、进水BOD</w:t>
            </w:r>
            <w:r>
              <w:rPr>
                <w:rFonts w:hint="default" w:ascii="Times New Roman" w:hAnsi="Times New Roman" w:eastAsia="仿宋_GB2312" w:cs="Times New Roman"/>
                <w:color w:val="auto"/>
                <w:kern w:val="0"/>
                <w:sz w:val="24"/>
                <w:szCs w:val="24"/>
                <w:highlight w:val="none"/>
                <w:vertAlign w:val="subscript"/>
                <w:lang w:bidi="ar"/>
              </w:rPr>
              <w:t>5</w:t>
            </w:r>
            <w:r>
              <w:rPr>
                <w:rFonts w:hint="default" w:ascii="Times New Roman" w:hAnsi="Times New Roman" w:eastAsia="仿宋_GB2312" w:cs="Times New Roman"/>
                <w:color w:val="auto"/>
                <w:kern w:val="0"/>
                <w:sz w:val="24"/>
                <w:szCs w:val="24"/>
                <w:highlight w:val="none"/>
                <w:lang w:bidi="ar"/>
              </w:rPr>
              <w:t>浓度提升等目标。</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县住建局</w:t>
            </w: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东水镇、礼士镇、公白镇、合水镇、青州镇、热水镇、浰源镇</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2025年</w:t>
            </w:r>
          </w:p>
        </w:tc>
      </w:tr>
      <w:tr>
        <w:tblPrEx>
          <w:tblCellMar>
            <w:top w:w="0" w:type="dxa"/>
            <w:left w:w="108" w:type="dxa"/>
            <w:bottom w:w="0" w:type="dxa"/>
            <w:right w:w="108" w:type="dxa"/>
          </w:tblCellMar>
        </w:tblPrEx>
        <w:trPr>
          <w:trHeight w:val="9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5</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加快统筹推进部分城镇生活污水处理厂验收投产有效运行，健全城镇污水处理设施运维管理机制，推进污水处理费合理调整并争取上级补贴。</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县住建局</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东水镇、礼士镇、公白镇、合水镇、青州镇、热水镇、浰源镇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2025年</w:t>
            </w:r>
          </w:p>
        </w:tc>
      </w:tr>
      <w:tr>
        <w:tblPrEx>
          <w:tblCellMar>
            <w:top w:w="0" w:type="dxa"/>
            <w:left w:w="108" w:type="dxa"/>
            <w:bottom w:w="0" w:type="dxa"/>
            <w:right w:w="108" w:type="dxa"/>
          </w:tblCellMar>
        </w:tblPrEx>
        <w:trPr>
          <w:trHeight w:val="2045"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6</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加强城镇污水处理设施的日常监管和督促检查，建立科学合理的检查考核机制，确保设施安全、稳定、高效、达标运行。</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县住建局</w:t>
            </w: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东水镇、礼士镇、公白镇、合水镇、青州镇、热水镇、浰源镇</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持续开展</w:t>
            </w:r>
          </w:p>
        </w:tc>
      </w:tr>
      <w:tr>
        <w:tblPrEx>
          <w:tblCellMar>
            <w:top w:w="0" w:type="dxa"/>
            <w:left w:w="108" w:type="dxa"/>
            <w:bottom w:w="0" w:type="dxa"/>
            <w:right w:w="108" w:type="dxa"/>
          </w:tblCellMar>
        </w:tblPrEx>
        <w:trPr>
          <w:trHeight w:val="149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7</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完成问题户厕及问题公厕全面改造。</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县农业农村局</w:t>
            </w: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东水镇、礼士镇、公白镇、合水镇、青州镇、热水镇、浰源镇</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2025年</w:t>
            </w:r>
          </w:p>
        </w:tc>
      </w:tr>
      <w:tr>
        <w:tblPrEx>
          <w:tblCellMar>
            <w:top w:w="0" w:type="dxa"/>
            <w:left w:w="108" w:type="dxa"/>
            <w:bottom w:w="0" w:type="dxa"/>
            <w:right w:w="108" w:type="dxa"/>
          </w:tblCellMar>
        </w:tblPrEx>
        <w:trPr>
          <w:trHeight w:val="5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8</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完善生活垃圾中转站等设施，提高农村生活垃圾收运处置体系运行管理水平。</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县住建局</w:t>
            </w: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东水镇、礼士镇、公白镇、合水镇、青州镇、热水镇、浰源镇</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2025年</w:t>
            </w:r>
          </w:p>
        </w:tc>
      </w:tr>
      <w:tr>
        <w:tblPrEx>
          <w:tblCellMar>
            <w:top w:w="0" w:type="dxa"/>
            <w:left w:w="108" w:type="dxa"/>
            <w:bottom w:w="0" w:type="dxa"/>
            <w:right w:w="108" w:type="dxa"/>
          </w:tblCellMar>
        </w:tblPrEx>
        <w:trPr>
          <w:trHeight w:val="5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9</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加强干、支流生态流量调度与管控，提升河湖生态流量保障水平。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县水务局</w:t>
            </w: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东水镇、礼士镇、公白镇、合水镇、青州镇、热水镇、浰源镇</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2025年</w:t>
            </w:r>
          </w:p>
        </w:tc>
      </w:tr>
      <w:tr>
        <w:tblPrEx>
          <w:tblCellMar>
            <w:top w:w="0" w:type="dxa"/>
            <w:left w:w="108" w:type="dxa"/>
            <w:bottom w:w="0" w:type="dxa"/>
            <w:right w:w="108" w:type="dxa"/>
          </w:tblCellMar>
        </w:tblPrEx>
        <w:trPr>
          <w:trHeight w:val="5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left"/>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10</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left"/>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对船塘河和平段（礼士河）两岸山地第一层山脊线以内的桉树纯林进行林分改造。2025年</w:t>
            </w:r>
            <w:r>
              <w:rPr>
                <w:rFonts w:hint="eastAsia" w:eastAsia="仿宋_GB2312" w:cs="Times New Roman"/>
                <w:color w:val="auto"/>
                <w:kern w:val="0"/>
                <w:sz w:val="24"/>
                <w:szCs w:val="24"/>
                <w:highlight w:val="none"/>
                <w:lang w:eastAsia="zh-CN" w:bidi="ar"/>
              </w:rPr>
              <w:t>前</w:t>
            </w:r>
            <w:r>
              <w:rPr>
                <w:rFonts w:hint="default" w:ascii="Times New Roman" w:hAnsi="Times New Roman" w:eastAsia="仿宋_GB2312" w:cs="Times New Roman"/>
                <w:color w:val="auto"/>
                <w:kern w:val="0"/>
                <w:sz w:val="24"/>
                <w:szCs w:val="24"/>
                <w:highlight w:val="none"/>
                <w:lang w:bidi="ar"/>
              </w:rPr>
              <w:t>安排完成流域内2000亩桉树纯林林分优化任务。</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县林业局</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东水镇、礼士镇、公白镇、合水镇、青州镇、热水镇、浰源镇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2025年</w:t>
            </w:r>
          </w:p>
        </w:tc>
      </w:tr>
      <w:tr>
        <w:tblPrEx>
          <w:tblCellMar>
            <w:top w:w="0" w:type="dxa"/>
            <w:left w:w="108" w:type="dxa"/>
            <w:bottom w:w="0" w:type="dxa"/>
            <w:right w:w="108" w:type="dxa"/>
          </w:tblCellMar>
        </w:tblPrEx>
        <w:trPr>
          <w:trHeight w:val="5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11</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加强重点企业执法监管，对不达标支流视情开展专项执法，形成排查问题和整改情况动态清单。</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市生态环境局和平分局</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both"/>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东水镇、礼士镇、公白镇、合水镇、青州镇、热水镇、浰源镇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持续开展</w:t>
            </w:r>
          </w:p>
        </w:tc>
      </w:tr>
    </w:tbl>
    <w:p>
      <w:pPr>
        <w:keepNext w:val="0"/>
        <w:keepLines w:val="0"/>
        <w:pageBreakBefore w:val="0"/>
        <w:widowControl/>
        <w:numPr>
          <w:ilvl w:val="255"/>
          <w:numId w:val="0"/>
        </w:numPr>
        <w:kinsoku/>
        <w:wordWrap/>
        <w:overflowPunct/>
        <w:topLinePunct w:val="0"/>
        <w:autoSpaceDE/>
        <w:autoSpaceDN/>
        <w:bidi w:val="0"/>
        <w:adjustRightInd/>
        <w:snapToGrid w:val="0"/>
        <w:spacing w:line="500" w:lineRule="exact"/>
        <w:rPr>
          <w:rFonts w:hint="default" w:ascii="Times New Roman" w:hAnsi="Times New Roman" w:eastAsia="仿宋_GB2312" w:cs="Times New Roman"/>
          <w:color w:val="auto"/>
          <w:sz w:val="32"/>
          <w:szCs w:val="32"/>
          <w:highlight w:val="none"/>
          <w:lang w:val="en-US" w:eastAsia="zh-CN"/>
        </w:rPr>
      </w:pPr>
    </w:p>
    <w:p>
      <w:pPr>
        <w:pStyle w:val="22"/>
        <w:rPr>
          <w:rFonts w:hint="default" w:ascii="Times New Roman" w:hAnsi="Times New Roman" w:eastAsia="仿宋_GB2312" w:cs="Times New Roman"/>
          <w:color w:val="auto"/>
          <w:sz w:val="32"/>
          <w:szCs w:val="32"/>
          <w:highlight w:val="none"/>
          <w:lang w:val="en-US" w:eastAsia="zh-CN"/>
        </w:rPr>
      </w:pPr>
    </w:p>
    <w:p>
      <w:pPr>
        <w:rPr>
          <w:rFonts w:hint="default" w:ascii="Times New Roman" w:hAnsi="Times New Roman" w:eastAsia="仿宋_GB2312" w:cs="Times New Roman"/>
          <w:color w:val="auto"/>
          <w:sz w:val="32"/>
          <w:szCs w:val="32"/>
          <w:highlight w:val="none"/>
          <w:lang w:val="en-US" w:eastAsia="zh-CN"/>
        </w:rPr>
      </w:pPr>
    </w:p>
    <w:p>
      <w:pPr>
        <w:pStyle w:val="22"/>
        <w:rPr>
          <w:rFonts w:hint="default" w:ascii="Times New Roman" w:hAnsi="Times New Roman" w:eastAsia="仿宋_GB2312" w:cs="Times New Roman"/>
          <w:color w:val="auto"/>
          <w:sz w:val="32"/>
          <w:szCs w:val="32"/>
          <w:highlight w:val="none"/>
          <w:lang w:val="en-US" w:eastAsia="zh-CN"/>
        </w:rPr>
      </w:pPr>
    </w:p>
    <w:p>
      <w:pPr>
        <w:rPr>
          <w:rFonts w:hint="default" w:ascii="Times New Roman" w:hAnsi="Times New Roman" w:eastAsia="仿宋_GB2312" w:cs="Times New Roman"/>
          <w:color w:val="auto"/>
          <w:sz w:val="32"/>
          <w:szCs w:val="32"/>
          <w:highlight w:val="none"/>
          <w:lang w:val="en-US" w:eastAsia="zh-CN"/>
        </w:rPr>
      </w:pPr>
    </w:p>
    <w:p>
      <w:pPr>
        <w:pStyle w:val="22"/>
        <w:rPr>
          <w:rFonts w:hint="default" w:ascii="Times New Roman" w:hAnsi="Times New Roman" w:eastAsia="仿宋_GB2312" w:cs="Times New Roman"/>
          <w:color w:val="auto"/>
          <w:sz w:val="32"/>
          <w:szCs w:val="32"/>
          <w:highlight w:val="none"/>
          <w:lang w:val="en-US" w:eastAsia="zh-CN"/>
        </w:rPr>
      </w:pPr>
    </w:p>
    <w:p>
      <w:pPr>
        <w:rPr>
          <w:rFonts w:hint="default" w:ascii="Times New Roman" w:hAnsi="Times New Roman" w:eastAsia="仿宋_GB2312" w:cs="Times New Roman"/>
          <w:color w:val="auto"/>
          <w:sz w:val="32"/>
          <w:szCs w:val="32"/>
          <w:highlight w:val="none"/>
          <w:lang w:val="en-US" w:eastAsia="zh-CN"/>
        </w:rPr>
        <w:sectPr>
          <w:pgSz w:w="16838" w:h="11905" w:orient="landscape"/>
          <w:pgMar w:top="1984" w:right="1984" w:bottom="1871" w:left="1587" w:header="851" w:footer="992" w:gutter="0"/>
          <w:pgNumType w:fmt="numberInDash"/>
          <w:cols w:space="0" w:num="1"/>
          <w:rtlGutter w:val="0"/>
          <w:docGrid w:type="linesAndChars" w:linePitch="632" w:charSpace="-819"/>
        </w:sectPr>
      </w:pPr>
    </w:p>
    <w:p>
      <w:pPr>
        <w:pStyle w:val="14"/>
        <w:rPr>
          <w:rFonts w:hint="default"/>
          <w:lang w:val="en-US" w:eastAsia="zh-CN"/>
        </w:rPr>
      </w:pPr>
    </w:p>
    <w:p>
      <w:pPr>
        <w:pStyle w:val="22"/>
        <w:rPr>
          <w:rFonts w:hint="default" w:ascii="Times New Roman" w:hAnsi="Times New Roman" w:eastAsia="仿宋_GB2312" w:cs="Times New Roman"/>
          <w:color w:val="auto"/>
          <w:sz w:val="32"/>
          <w:szCs w:val="32"/>
          <w:highlight w:val="none"/>
          <w:lang w:val="en-US" w:eastAsia="zh-CN"/>
        </w:rPr>
      </w:pPr>
    </w:p>
    <w:p>
      <w:pPr>
        <w:rPr>
          <w:rFonts w:hint="default" w:ascii="Times New Roman" w:hAnsi="Times New Roman" w:eastAsia="仿宋_GB2312" w:cs="Times New Roman"/>
          <w:color w:val="auto"/>
          <w:sz w:val="32"/>
          <w:szCs w:val="32"/>
          <w:highlight w:val="none"/>
          <w:lang w:val="en-US" w:eastAsia="zh-CN"/>
        </w:rPr>
      </w:pPr>
    </w:p>
    <w:p>
      <w:pPr>
        <w:pStyle w:val="22"/>
        <w:rPr>
          <w:rFonts w:hint="default" w:ascii="Times New Roman" w:hAnsi="Times New Roman" w:eastAsia="仿宋_GB2312" w:cs="Times New Roman"/>
          <w:color w:val="auto"/>
          <w:sz w:val="32"/>
          <w:szCs w:val="32"/>
          <w:highlight w:val="none"/>
          <w:lang w:val="en-US" w:eastAsia="zh-CN"/>
        </w:rPr>
      </w:pPr>
    </w:p>
    <w:p>
      <w:pPr>
        <w:rPr>
          <w:rFonts w:hint="default" w:ascii="Times New Roman" w:hAnsi="Times New Roman" w:eastAsia="仿宋_GB2312" w:cs="Times New Roman"/>
          <w:color w:val="auto"/>
          <w:sz w:val="32"/>
          <w:szCs w:val="32"/>
          <w:highlight w:val="none"/>
          <w:lang w:val="en-US" w:eastAsia="zh-CN"/>
        </w:rPr>
      </w:pPr>
    </w:p>
    <w:p>
      <w:pPr>
        <w:pStyle w:val="22"/>
        <w:rPr>
          <w:rFonts w:hint="default" w:ascii="Times New Roman" w:hAnsi="Times New Roman" w:eastAsia="仿宋_GB2312" w:cs="Times New Roman"/>
          <w:color w:val="auto"/>
          <w:sz w:val="32"/>
          <w:szCs w:val="32"/>
          <w:highlight w:val="none"/>
          <w:lang w:val="en-US" w:eastAsia="zh-CN"/>
        </w:rPr>
      </w:pPr>
    </w:p>
    <w:p>
      <w:pPr>
        <w:rPr>
          <w:rFonts w:hint="default" w:ascii="Times New Roman" w:hAnsi="Times New Roman" w:eastAsia="仿宋_GB2312" w:cs="Times New Roman"/>
          <w:color w:val="auto"/>
          <w:sz w:val="32"/>
          <w:szCs w:val="32"/>
          <w:highlight w:val="none"/>
          <w:lang w:val="en-US" w:eastAsia="zh-CN"/>
        </w:rPr>
      </w:pPr>
    </w:p>
    <w:p>
      <w:pPr>
        <w:pStyle w:val="22"/>
        <w:rPr>
          <w:rFonts w:hint="default" w:ascii="Times New Roman" w:hAnsi="Times New Roman" w:eastAsia="仿宋_GB2312" w:cs="Times New Roman"/>
          <w:color w:val="auto"/>
          <w:sz w:val="32"/>
          <w:szCs w:val="32"/>
          <w:highlight w:val="none"/>
          <w:lang w:val="en-US" w:eastAsia="zh-CN"/>
        </w:rPr>
      </w:pPr>
    </w:p>
    <w:p>
      <w:pPr>
        <w:rPr>
          <w:rFonts w:hint="default" w:ascii="Times New Roman" w:hAnsi="Times New Roman" w:eastAsia="仿宋_GB2312" w:cs="Times New Roman"/>
          <w:color w:val="auto"/>
          <w:sz w:val="32"/>
          <w:szCs w:val="32"/>
          <w:highlight w:val="none"/>
          <w:lang w:val="en-US" w:eastAsia="zh-CN"/>
        </w:rPr>
      </w:pPr>
    </w:p>
    <w:p>
      <w:pPr>
        <w:pStyle w:val="22"/>
        <w:rPr>
          <w:rFonts w:hint="default" w:ascii="Times New Roman" w:hAnsi="Times New Roman" w:eastAsia="仿宋_GB2312" w:cs="Times New Roman"/>
          <w:color w:val="auto"/>
          <w:sz w:val="32"/>
          <w:szCs w:val="32"/>
          <w:highlight w:val="none"/>
          <w:lang w:val="en-US" w:eastAsia="zh-CN"/>
        </w:rPr>
      </w:pPr>
    </w:p>
    <w:p>
      <w:pPr>
        <w:rPr>
          <w:rFonts w:hint="default" w:ascii="Times New Roman" w:hAnsi="Times New Roman" w:eastAsia="仿宋_GB2312" w:cs="Times New Roman"/>
          <w:color w:val="auto"/>
          <w:sz w:val="32"/>
          <w:szCs w:val="32"/>
          <w:highlight w:val="none"/>
          <w:lang w:val="en-US" w:eastAsia="zh-CN"/>
        </w:rPr>
      </w:pPr>
    </w:p>
    <w:p>
      <w:pPr>
        <w:pStyle w:val="22"/>
        <w:rPr>
          <w:rFonts w:hint="default" w:ascii="Times New Roman" w:hAnsi="Times New Roman" w:eastAsia="仿宋_GB2312" w:cs="Times New Roman"/>
          <w:color w:val="auto"/>
          <w:sz w:val="32"/>
          <w:szCs w:val="32"/>
          <w:highlight w:val="none"/>
          <w:lang w:val="en-US" w:eastAsia="zh-CN"/>
        </w:rPr>
      </w:pPr>
    </w:p>
    <w:p>
      <w:pPr>
        <w:rPr>
          <w:rFonts w:hint="default" w:ascii="Times New Roman" w:hAnsi="Times New Roman" w:eastAsia="仿宋_GB2312" w:cs="Times New Roman"/>
          <w:color w:val="auto"/>
          <w:sz w:val="32"/>
          <w:szCs w:val="32"/>
          <w:highlight w:val="none"/>
          <w:lang w:val="en-US" w:eastAsia="zh-CN"/>
        </w:rPr>
      </w:pPr>
    </w:p>
    <w:p>
      <w:pPr>
        <w:pStyle w:val="22"/>
        <w:ind w:left="0" w:leftChars="0" w:firstLine="0" w:firstLineChars="0"/>
        <w:rPr>
          <w:rFonts w:hint="default"/>
          <w:lang w:val="en-US" w:eastAsia="zh-CN"/>
        </w:rPr>
      </w:pPr>
    </w:p>
    <w:p>
      <w:pPr>
        <w:rPr>
          <w:rFonts w:hint="default"/>
          <w:lang w:val="en-US" w:eastAsia="zh-CN"/>
        </w:rPr>
      </w:pPr>
    </w:p>
    <w:p>
      <w:pPr>
        <w:pStyle w:val="14"/>
        <w:rPr>
          <w:rFonts w:hint="default"/>
          <w:lang w:val="en-US" w:eastAsia="zh-CN"/>
        </w:rPr>
      </w:pPr>
    </w:p>
    <w:p>
      <w:pPr>
        <w:rPr>
          <w:rFonts w:hint="default"/>
          <w:lang w:val="en-US" w:eastAsia="zh-CN"/>
        </w:rPr>
      </w:pPr>
    </w:p>
    <w:p>
      <w:pPr>
        <w:pStyle w:val="14"/>
        <w:rPr>
          <w:rFonts w:hint="default"/>
          <w:lang w:val="en-US" w:eastAsia="zh-CN"/>
        </w:rPr>
      </w:pPr>
    </w:p>
    <w:p>
      <w:pPr>
        <w:rPr>
          <w:rFonts w:hint="default"/>
          <w:lang w:val="en-US" w:eastAsia="zh-CN"/>
        </w:rPr>
      </w:pPr>
    </w:p>
    <w:p>
      <w:pPr>
        <w:pStyle w:val="14"/>
        <w:rPr>
          <w:rFonts w:hint="default"/>
          <w:lang w:val="en-US" w:eastAsia="zh-CN"/>
        </w:rPr>
      </w:pPr>
    </w:p>
    <w:p>
      <w:pPr>
        <w:pStyle w:val="2"/>
        <w:ind w:left="0" w:leftChars="0" w:firstLine="0" w:firstLineChars="0"/>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公开方式：</w:t>
      </w:r>
      <w:r>
        <w:rPr>
          <w:rFonts w:hint="eastAsia" w:ascii="仿宋_GB2312" w:hAnsi="仿宋_GB2312" w:eastAsia="仿宋_GB2312" w:cs="仿宋_GB2312"/>
          <w:sz w:val="32"/>
          <w:szCs w:val="32"/>
          <w:highlight w:val="none"/>
          <w:lang w:val="en-US" w:eastAsia="zh-CN"/>
        </w:rPr>
        <w:t>主动</w:t>
      </w:r>
      <w:bookmarkStart w:id="7" w:name="_GoBack"/>
      <w:bookmarkEnd w:id="7"/>
      <w:r>
        <w:rPr>
          <w:rFonts w:hint="eastAsia" w:ascii="仿宋_GB2312" w:hAnsi="仿宋_GB2312" w:eastAsia="仿宋_GB2312" w:cs="仿宋_GB2312"/>
          <w:sz w:val="32"/>
          <w:szCs w:val="32"/>
          <w:highlight w:val="none"/>
          <w:lang w:val="en-US" w:eastAsia="zh-CN"/>
        </w:rPr>
        <w:t>公开</w:t>
      </w:r>
    </w:p>
    <w:p>
      <w:pPr>
        <w:pStyle w:val="2"/>
        <w:ind w:left="0" w:leftChars="0" w:firstLine="281" w:firstLineChars="100"/>
        <w:rPr>
          <w:rFonts w:hint="default"/>
          <w:lang w:val="en-US" w:eastAsia="zh-CN"/>
        </w:rPr>
      </w:pPr>
      <w:r>
        <w:rPr>
          <w:rFonts w:hint="eastAsia" w:ascii="仿宋_GB2312" w:hAnsi="仿宋_GB2312" w:eastAsia="仿宋_GB2312" w:cs="仿宋_GB2312"/>
          <w:sz w:val="28"/>
          <w:szCs w:val="28"/>
          <w:highlight w:val="none"/>
          <w:lang w:val="en-US" w:eastAsia="zh-CN"/>
        </w:rPr>
        <w:t xml:space="preserve">  抄 送：县纪委监委，县委办、县人大办、县政协办。</w:t>
      </w:r>
    </w:p>
    <w:sectPr>
      <w:pgSz w:w="11905" w:h="16838"/>
      <w:pgMar w:top="1984" w:right="1871" w:bottom="1587" w:left="1984" w:header="851" w:footer="992" w:gutter="0"/>
      <w:paperSrc/>
      <w:pgNumType w:fmt="numberInDash"/>
      <w:cols w:space="0" w:num="1"/>
      <w:rtlGutter w:val="0"/>
      <w:docGrid w:type="linesAndChars" w:linePitch="632"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5937D7-3408-4F9E-ADAC-00C5ADD1BB9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3236134-30CF-4B8C-B750-97647788F077}"/>
  </w:font>
  <w:font w:name="方正仿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embedRegular r:id="rId3" w:fontKey="{EA121901-A53E-4AA9-A0D6-6EB06D4CB71F}"/>
  </w:font>
  <w:font w:name="仿宋_GB2312">
    <w:panose1 w:val="02010609030101010101"/>
    <w:charset w:val="86"/>
    <w:family w:val="modern"/>
    <w:pitch w:val="default"/>
    <w:sig w:usb0="00000001" w:usb1="080E0000" w:usb2="00000000" w:usb3="00000000" w:csb0="00040000" w:csb1="00000000"/>
    <w:embedRegular r:id="rId4" w:fontKey="{ADB332AA-98F1-4838-ABA1-1E10708C3B45}"/>
  </w:font>
  <w:font w:name="楷体">
    <w:panose1 w:val="02010609060101010101"/>
    <w:charset w:val="86"/>
    <w:family w:val="modern"/>
    <w:pitch w:val="default"/>
    <w:sig w:usb0="800002BF" w:usb1="38CF7CFA" w:usb2="00000016" w:usb3="00000000" w:csb0="00040001" w:csb1="00000000"/>
    <w:embedRegular r:id="rId5" w:fontKey="{B01DDF25-3C91-4379-9054-6D55647141D4}"/>
  </w:font>
  <w:font w:name="方正小标宋简体">
    <w:panose1 w:val="02000000000000000000"/>
    <w:charset w:val="86"/>
    <w:family w:val="auto"/>
    <w:pitch w:val="default"/>
    <w:sig w:usb0="A00002BF" w:usb1="184F6CFA" w:usb2="00000012" w:usb3="00000000" w:csb0="00040001" w:csb1="00000000"/>
    <w:embedRegular r:id="rId6" w:fontKey="{E7AB8CE4-6BBF-4D30-8BD2-F304B637C656}"/>
  </w:font>
  <w:font w:name="仿宋">
    <w:panose1 w:val="02010609060101010101"/>
    <w:charset w:val="86"/>
    <w:family w:val="modern"/>
    <w:pitch w:val="default"/>
    <w:sig w:usb0="800002BF" w:usb1="38CF7CFA" w:usb2="00000016" w:usb3="00000000" w:csb0="00040001" w:csb1="00000000"/>
    <w:embedRegular r:id="rId7" w:fontKey="{D8EB433A-52F3-4A0A-85F4-4C94DD3CFBFB}"/>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49B0E5"/>
    <w:multiLevelType w:val="multilevel"/>
    <w:tmpl w:val="FA49B0E5"/>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HorizontalSpacing w:val="161"/>
  <w:drawingGridVerticalSpacing w:val="295"/>
  <w:displayHorizontalDrawingGridEvery w:val="2"/>
  <w:displayVerticalDrawingGridEvery w:val="2"/>
  <w:noPunctuationKerning w:val="1"/>
  <w:characterSpacingControl w:val="doNotCompress"/>
  <w:hdrShapeDefaults>
    <o:shapelayout v:ext="edit">
      <o:idmap v:ext="edit" data="2"/>
    </o:shapelayout>
  </w:hdrShapeDefault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wNDg3MGEyODk1NWM5ZmQwNWE2ZDI3NTI1Yjg1OGEifQ=="/>
  </w:docVars>
  <w:rsids>
    <w:rsidRoot w:val="00060516"/>
    <w:rsid w:val="00006948"/>
    <w:rsid w:val="000202DC"/>
    <w:rsid w:val="00022E02"/>
    <w:rsid w:val="00025362"/>
    <w:rsid w:val="00036256"/>
    <w:rsid w:val="00046158"/>
    <w:rsid w:val="000504C8"/>
    <w:rsid w:val="00056691"/>
    <w:rsid w:val="00060411"/>
    <w:rsid w:val="00060516"/>
    <w:rsid w:val="000736F0"/>
    <w:rsid w:val="0009105C"/>
    <w:rsid w:val="000917AE"/>
    <w:rsid w:val="000939A9"/>
    <w:rsid w:val="000A3A1F"/>
    <w:rsid w:val="000C0451"/>
    <w:rsid w:val="000C160C"/>
    <w:rsid w:val="000D59A4"/>
    <w:rsid w:val="000E2308"/>
    <w:rsid w:val="000E47EE"/>
    <w:rsid w:val="000E568C"/>
    <w:rsid w:val="000F42DD"/>
    <w:rsid w:val="00101EBE"/>
    <w:rsid w:val="00117017"/>
    <w:rsid w:val="00130355"/>
    <w:rsid w:val="0013296A"/>
    <w:rsid w:val="00147B99"/>
    <w:rsid w:val="001530DF"/>
    <w:rsid w:val="001572E2"/>
    <w:rsid w:val="00173424"/>
    <w:rsid w:val="00181A72"/>
    <w:rsid w:val="00191674"/>
    <w:rsid w:val="00194102"/>
    <w:rsid w:val="001C1650"/>
    <w:rsid w:val="001C28FC"/>
    <w:rsid w:val="001D6E76"/>
    <w:rsid w:val="001E756D"/>
    <w:rsid w:val="001F3EBE"/>
    <w:rsid w:val="00201561"/>
    <w:rsid w:val="00212B37"/>
    <w:rsid w:val="00224897"/>
    <w:rsid w:val="002302B6"/>
    <w:rsid w:val="00235DB1"/>
    <w:rsid w:val="002401EB"/>
    <w:rsid w:val="002423B8"/>
    <w:rsid w:val="0025214B"/>
    <w:rsid w:val="002538C8"/>
    <w:rsid w:val="00273A91"/>
    <w:rsid w:val="00292510"/>
    <w:rsid w:val="002A146A"/>
    <w:rsid w:val="002A2797"/>
    <w:rsid w:val="002A5DC2"/>
    <w:rsid w:val="002B6360"/>
    <w:rsid w:val="002C66E3"/>
    <w:rsid w:val="002D5244"/>
    <w:rsid w:val="002E667C"/>
    <w:rsid w:val="00303D3C"/>
    <w:rsid w:val="0030422F"/>
    <w:rsid w:val="00307D51"/>
    <w:rsid w:val="00315A45"/>
    <w:rsid w:val="0032477E"/>
    <w:rsid w:val="00325B6A"/>
    <w:rsid w:val="003432E6"/>
    <w:rsid w:val="0034339C"/>
    <w:rsid w:val="00346914"/>
    <w:rsid w:val="0034758C"/>
    <w:rsid w:val="003514E8"/>
    <w:rsid w:val="0035321D"/>
    <w:rsid w:val="00356AD6"/>
    <w:rsid w:val="00356DA3"/>
    <w:rsid w:val="00366361"/>
    <w:rsid w:val="003746BB"/>
    <w:rsid w:val="003808AD"/>
    <w:rsid w:val="00384F56"/>
    <w:rsid w:val="00386DFD"/>
    <w:rsid w:val="00392A46"/>
    <w:rsid w:val="00393F8C"/>
    <w:rsid w:val="00395237"/>
    <w:rsid w:val="003A5651"/>
    <w:rsid w:val="003A6151"/>
    <w:rsid w:val="003B26B5"/>
    <w:rsid w:val="003D21FD"/>
    <w:rsid w:val="003D6656"/>
    <w:rsid w:val="003E6892"/>
    <w:rsid w:val="003F518E"/>
    <w:rsid w:val="004005CC"/>
    <w:rsid w:val="00404A85"/>
    <w:rsid w:val="0041361D"/>
    <w:rsid w:val="0041495B"/>
    <w:rsid w:val="00416F44"/>
    <w:rsid w:val="004370A7"/>
    <w:rsid w:val="0043729D"/>
    <w:rsid w:val="00452D59"/>
    <w:rsid w:val="00464CDF"/>
    <w:rsid w:val="0047545C"/>
    <w:rsid w:val="00476BC1"/>
    <w:rsid w:val="00477328"/>
    <w:rsid w:val="0048604D"/>
    <w:rsid w:val="00486840"/>
    <w:rsid w:val="00486A98"/>
    <w:rsid w:val="00495441"/>
    <w:rsid w:val="004A69BA"/>
    <w:rsid w:val="004C377C"/>
    <w:rsid w:val="004C58A3"/>
    <w:rsid w:val="004C6BAC"/>
    <w:rsid w:val="004D63AF"/>
    <w:rsid w:val="004E67BC"/>
    <w:rsid w:val="004F1253"/>
    <w:rsid w:val="004F23F6"/>
    <w:rsid w:val="004F3D72"/>
    <w:rsid w:val="004F54B1"/>
    <w:rsid w:val="004F6907"/>
    <w:rsid w:val="00503B8B"/>
    <w:rsid w:val="00505B7F"/>
    <w:rsid w:val="005207F1"/>
    <w:rsid w:val="00527BF4"/>
    <w:rsid w:val="0053442B"/>
    <w:rsid w:val="00535C58"/>
    <w:rsid w:val="00540072"/>
    <w:rsid w:val="00541784"/>
    <w:rsid w:val="00543FC5"/>
    <w:rsid w:val="0054749A"/>
    <w:rsid w:val="005512C7"/>
    <w:rsid w:val="00554739"/>
    <w:rsid w:val="00557047"/>
    <w:rsid w:val="00562B66"/>
    <w:rsid w:val="00564111"/>
    <w:rsid w:val="00570E97"/>
    <w:rsid w:val="0057298F"/>
    <w:rsid w:val="00582BC0"/>
    <w:rsid w:val="00585782"/>
    <w:rsid w:val="00590BF7"/>
    <w:rsid w:val="005A2686"/>
    <w:rsid w:val="005A53AE"/>
    <w:rsid w:val="005B1363"/>
    <w:rsid w:val="005B3207"/>
    <w:rsid w:val="005B44C2"/>
    <w:rsid w:val="005B7404"/>
    <w:rsid w:val="005B76EE"/>
    <w:rsid w:val="005C6533"/>
    <w:rsid w:val="005D30B3"/>
    <w:rsid w:val="005D35AE"/>
    <w:rsid w:val="005D3C3B"/>
    <w:rsid w:val="005D7333"/>
    <w:rsid w:val="005D742C"/>
    <w:rsid w:val="005E7CAE"/>
    <w:rsid w:val="005F03EE"/>
    <w:rsid w:val="005F19C0"/>
    <w:rsid w:val="006008B6"/>
    <w:rsid w:val="00604D5A"/>
    <w:rsid w:val="006126F0"/>
    <w:rsid w:val="00617DF5"/>
    <w:rsid w:val="006351E7"/>
    <w:rsid w:val="00650F84"/>
    <w:rsid w:val="006572DF"/>
    <w:rsid w:val="00663C52"/>
    <w:rsid w:val="006653C6"/>
    <w:rsid w:val="00665422"/>
    <w:rsid w:val="00674634"/>
    <w:rsid w:val="006816D3"/>
    <w:rsid w:val="0069270C"/>
    <w:rsid w:val="00692A87"/>
    <w:rsid w:val="0069479E"/>
    <w:rsid w:val="006C1BA2"/>
    <w:rsid w:val="006D3185"/>
    <w:rsid w:val="006E23D6"/>
    <w:rsid w:val="006E4434"/>
    <w:rsid w:val="007100AB"/>
    <w:rsid w:val="00721ADD"/>
    <w:rsid w:val="00727FAD"/>
    <w:rsid w:val="00735C4C"/>
    <w:rsid w:val="0075033B"/>
    <w:rsid w:val="00750FB1"/>
    <w:rsid w:val="00757622"/>
    <w:rsid w:val="00766CCE"/>
    <w:rsid w:val="00780CEC"/>
    <w:rsid w:val="007A5F37"/>
    <w:rsid w:val="007C01B5"/>
    <w:rsid w:val="007C4942"/>
    <w:rsid w:val="007C6922"/>
    <w:rsid w:val="007D51B1"/>
    <w:rsid w:val="007F0ABC"/>
    <w:rsid w:val="00807F18"/>
    <w:rsid w:val="0083276A"/>
    <w:rsid w:val="00833FE6"/>
    <w:rsid w:val="00837D57"/>
    <w:rsid w:val="0084127C"/>
    <w:rsid w:val="00852571"/>
    <w:rsid w:val="008532E5"/>
    <w:rsid w:val="00854271"/>
    <w:rsid w:val="00863260"/>
    <w:rsid w:val="008645DA"/>
    <w:rsid w:val="0088221E"/>
    <w:rsid w:val="00885005"/>
    <w:rsid w:val="00895F2C"/>
    <w:rsid w:val="008A5D69"/>
    <w:rsid w:val="008C32E9"/>
    <w:rsid w:val="008C4A83"/>
    <w:rsid w:val="008D0E43"/>
    <w:rsid w:val="00906475"/>
    <w:rsid w:val="00911752"/>
    <w:rsid w:val="009132CE"/>
    <w:rsid w:val="009143BB"/>
    <w:rsid w:val="009305D3"/>
    <w:rsid w:val="00944469"/>
    <w:rsid w:val="009444DA"/>
    <w:rsid w:val="00950EFC"/>
    <w:rsid w:val="00953D47"/>
    <w:rsid w:val="009578F4"/>
    <w:rsid w:val="0096298C"/>
    <w:rsid w:val="0097102C"/>
    <w:rsid w:val="00971E48"/>
    <w:rsid w:val="00972CB9"/>
    <w:rsid w:val="009972F9"/>
    <w:rsid w:val="009A3BBA"/>
    <w:rsid w:val="009A6881"/>
    <w:rsid w:val="009A7DFB"/>
    <w:rsid w:val="009B3BF7"/>
    <w:rsid w:val="009C545B"/>
    <w:rsid w:val="009C7197"/>
    <w:rsid w:val="009D141A"/>
    <w:rsid w:val="009D688A"/>
    <w:rsid w:val="009F779C"/>
    <w:rsid w:val="00A06658"/>
    <w:rsid w:val="00A077CE"/>
    <w:rsid w:val="00A07EAF"/>
    <w:rsid w:val="00A14381"/>
    <w:rsid w:val="00A15EA5"/>
    <w:rsid w:val="00A21DDE"/>
    <w:rsid w:val="00A2368C"/>
    <w:rsid w:val="00A370B1"/>
    <w:rsid w:val="00A70661"/>
    <w:rsid w:val="00A81627"/>
    <w:rsid w:val="00A83889"/>
    <w:rsid w:val="00A84D2F"/>
    <w:rsid w:val="00AA7070"/>
    <w:rsid w:val="00AB1380"/>
    <w:rsid w:val="00AB6898"/>
    <w:rsid w:val="00AB7BBD"/>
    <w:rsid w:val="00AC3804"/>
    <w:rsid w:val="00AC549B"/>
    <w:rsid w:val="00AC6EF2"/>
    <w:rsid w:val="00AD77CB"/>
    <w:rsid w:val="00AD7827"/>
    <w:rsid w:val="00AE5CCC"/>
    <w:rsid w:val="00AF3535"/>
    <w:rsid w:val="00AF4280"/>
    <w:rsid w:val="00B0248E"/>
    <w:rsid w:val="00B028F1"/>
    <w:rsid w:val="00B03F40"/>
    <w:rsid w:val="00B04EBC"/>
    <w:rsid w:val="00B070D1"/>
    <w:rsid w:val="00B10304"/>
    <w:rsid w:val="00B22C6F"/>
    <w:rsid w:val="00B43CB9"/>
    <w:rsid w:val="00B459F7"/>
    <w:rsid w:val="00B5005A"/>
    <w:rsid w:val="00B71B5E"/>
    <w:rsid w:val="00B71BDE"/>
    <w:rsid w:val="00B8533D"/>
    <w:rsid w:val="00BB05DB"/>
    <w:rsid w:val="00BB1502"/>
    <w:rsid w:val="00BB790F"/>
    <w:rsid w:val="00BC1187"/>
    <w:rsid w:val="00BC56CE"/>
    <w:rsid w:val="00BC6BCF"/>
    <w:rsid w:val="00BD43C8"/>
    <w:rsid w:val="00BD50E9"/>
    <w:rsid w:val="00BE1321"/>
    <w:rsid w:val="00BE1C5D"/>
    <w:rsid w:val="00BF6315"/>
    <w:rsid w:val="00C0621D"/>
    <w:rsid w:val="00C11065"/>
    <w:rsid w:val="00C3241E"/>
    <w:rsid w:val="00C34DED"/>
    <w:rsid w:val="00C52239"/>
    <w:rsid w:val="00C54474"/>
    <w:rsid w:val="00C564E6"/>
    <w:rsid w:val="00C631BF"/>
    <w:rsid w:val="00C702BF"/>
    <w:rsid w:val="00C70EF7"/>
    <w:rsid w:val="00C721C2"/>
    <w:rsid w:val="00C7259C"/>
    <w:rsid w:val="00C739AF"/>
    <w:rsid w:val="00C82EFF"/>
    <w:rsid w:val="00C82FE6"/>
    <w:rsid w:val="00C917AD"/>
    <w:rsid w:val="00C974C5"/>
    <w:rsid w:val="00CA3224"/>
    <w:rsid w:val="00CA496E"/>
    <w:rsid w:val="00CC74C1"/>
    <w:rsid w:val="00CD398D"/>
    <w:rsid w:val="00CE19AA"/>
    <w:rsid w:val="00CE37E6"/>
    <w:rsid w:val="00CE5F25"/>
    <w:rsid w:val="00CE6CDA"/>
    <w:rsid w:val="00CF1CA4"/>
    <w:rsid w:val="00CF782C"/>
    <w:rsid w:val="00D03E1C"/>
    <w:rsid w:val="00D057AE"/>
    <w:rsid w:val="00D363F9"/>
    <w:rsid w:val="00D55BF9"/>
    <w:rsid w:val="00D60DF1"/>
    <w:rsid w:val="00D7098B"/>
    <w:rsid w:val="00D77A66"/>
    <w:rsid w:val="00D77D87"/>
    <w:rsid w:val="00D93AF3"/>
    <w:rsid w:val="00D947FC"/>
    <w:rsid w:val="00D94C8D"/>
    <w:rsid w:val="00DA36C7"/>
    <w:rsid w:val="00DA6B53"/>
    <w:rsid w:val="00DB03B5"/>
    <w:rsid w:val="00DB0CF3"/>
    <w:rsid w:val="00DB4D73"/>
    <w:rsid w:val="00DC3369"/>
    <w:rsid w:val="00DC68BD"/>
    <w:rsid w:val="00DC6C6E"/>
    <w:rsid w:val="00DD0FAF"/>
    <w:rsid w:val="00DD24E0"/>
    <w:rsid w:val="00DD724E"/>
    <w:rsid w:val="00DF4F3A"/>
    <w:rsid w:val="00DF500A"/>
    <w:rsid w:val="00E161EE"/>
    <w:rsid w:val="00E20681"/>
    <w:rsid w:val="00E37F50"/>
    <w:rsid w:val="00E45631"/>
    <w:rsid w:val="00E64985"/>
    <w:rsid w:val="00E75BCF"/>
    <w:rsid w:val="00E7682D"/>
    <w:rsid w:val="00E82F2E"/>
    <w:rsid w:val="00E8438B"/>
    <w:rsid w:val="00E913EA"/>
    <w:rsid w:val="00E92D72"/>
    <w:rsid w:val="00E97995"/>
    <w:rsid w:val="00EA0341"/>
    <w:rsid w:val="00EA42CB"/>
    <w:rsid w:val="00EA6AB9"/>
    <w:rsid w:val="00EB6108"/>
    <w:rsid w:val="00EC2729"/>
    <w:rsid w:val="00ED4346"/>
    <w:rsid w:val="00EF3257"/>
    <w:rsid w:val="00EF3D89"/>
    <w:rsid w:val="00F11040"/>
    <w:rsid w:val="00F33289"/>
    <w:rsid w:val="00F416CB"/>
    <w:rsid w:val="00F42385"/>
    <w:rsid w:val="00F44B62"/>
    <w:rsid w:val="00F46925"/>
    <w:rsid w:val="00F51F75"/>
    <w:rsid w:val="00F63277"/>
    <w:rsid w:val="00F639A4"/>
    <w:rsid w:val="00F823C3"/>
    <w:rsid w:val="00F94969"/>
    <w:rsid w:val="00FB06C4"/>
    <w:rsid w:val="00FB1A7D"/>
    <w:rsid w:val="00FB72F7"/>
    <w:rsid w:val="00FD37C7"/>
    <w:rsid w:val="00FE1112"/>
    <w:rsid w:val="00FE323F"/>
    <w:rsid w:val="00FE34AB"/>
    <w:rsid w:val="00FE4991"/>
    <w:rsid w:val="01105B61"/>
    <w:rsid w:val="012835AB"/>
    <w:rsid w:val="014656A4"/>
    <w:rsid w:val="014C3654"/>
    <w:rsid w:val="018B6478"/>
    <w:rsid w:val="01AC5DB6"/>
    <w:rsid w:val="01DE1773"/>
    <w:rsid w:val="02425FFB"/>
    <w:rsid w:val="02447F16"/>
    <w:rsid w:val="024B6AB9"/>
    <w:rsid w:val="02796067"/>
    <w:rsid w:val="02982F31"/>
    <w:rsid w:val="02B079D8"/>
    <w:rsid w:val="02B8344B"/>
    <w:rsid w:val="02CB7F49"/>
    <w:rsid w:val="02E44199"/>
    <w:rsid w:val="02FA25DD"/>
    <w:rsid w:val="033A2712"/>
    <w:rsid w:val="0370765B"/>
    <w:rsid w:val="037E64F7"/>
    <w:rsid w:val="03A71848"/>
    <w:rsid w:val="040B2EB5"/>
    <w:rsid w:val="042B2333"/>
    <w:rsid w:val="04343729"/>
    <w:rsid w:val="04345485"/>
    <w:rsid w:val="0442087A"/>
    <w:rsid w:val="0449271D"/>
    <w:rsid w:val="045552D5"/>
    <w:rsid w:val="04596D47"/>
    <w:rsid w:val="046063CB"/>
    <w:rsid w:val="04753CE3"/>
    <w:rsid w:val="04D604E2"/>
    <w:rsid w:val="04D8372E"/>
    <w:rsid w:val="04E9650C"/>
    <w:rsid w:val="04F60790"/>
    <w:rsid w:val="05081719"/>
    <w:rsid w:val="051400B7"/>
    <w:rsid w:val="05181FA8"/>
    <w:rsid w:val="051D0A95"/>
    <w:rsid w:val="054A557B"/>
    <w:rsid w:val="05BD41DE"/>
    <w:rsid w:val="05FF5800"/>
    <w:rsid w:val="062C7F4A"/>
    <w:rsid w:val="062D46C5"/>
    <w:rsid w:val="063003D5"/>
    <w:rsid w:val="0658058A"/>
    <w:rsid w:val="06583E99"/>
    <w:rsid w:val="068B5283"/>
    <w:rsid w:val="069276FA"/>
    <w:rsid w:val="06991DBA"/>
    <w:rsid w:val="06B60FA5"/>
    <w:rsid w:val="06C6778A"/>
    <w:rsid w:val="06F22112"/>
    <w:rsid w:val="06F554EA"/>
    <w:rsid w:val="06F73010"/>
    <w:rsid w:val="070A68F4"/>
    <w:rsid w:val="072F0559"/>
    <w:rsid w:val="073409FF"/>
    <w:rsid w:val="07BD72EF"/>
    <w:rsid w:val="07D26BE6"/>
    <w:rsid w:val="07DE2A74"/>
    <w:rsid w:val="081E21E4"/>
    <w:rsid w:val="08313490"/>
    <w:rsid w:val="084971E5"/>
    <w:rsid w:val="085C73F6"/>
    <w:rsid w:val="086C20D5"/>
    <w:rsid w:val="087D6955"/>
    <w:rsid w:val="08897AAB"/>
    <w:rsid w:val="08A96637"/>
    <w:rsid w:val="08AA23AF"/>
    <w:rsid w:val="08BB74FF"/>
    <w:rsid w:val="08DC7610"/>
    <w:rsid w:val="090B0FEB"/>
    <w:rsid w:val="091A3B50"/>
    <w:rsid w:val="096E0C20"/>
    <w:rsid w:val="096E23EF"/>
    <w:rsid w:val="09BD3CCA"/>
    <w:rsid w:val="09CE650D"/>
    <w:rsid w:val="09D32846"/>
    <w:rsid w:val="09D42F01"/>
    <w:rsid w:val="09E301EB"/>
    <w:rsid w:val="09EA2458"/>
    <w:rsid w:val="0A153431"/>
    <w:rsid w:val="0A167461"/>
    <w:rsid w:val="0A1B0933"/>
    <w:rsid w:val="0A264F2C"/>
    <w:rsid w:val="0A361DE9"/>
    <w:rsid w:val="0A4373C2"/>
    <w:rsid w:val="0A556C40"/>
    <w:rsid w:val="0AD30231"/>
    <w:rsid w:val="0AD70C3B"/>
    <w:rsid w:val="0B3C653B"/>
    <w:rsid w:val="0B907F82"/>
    <w:rsid w:val="0B922FF3"/>
    <w:rsid w:val="0B9D74FB"/>
    <w:rsid w:val="0BA30949"/>
    <w:rsid w:val="0BAD1A52"/>
    <w:rsid w:val="0BAF2A61"/>
    <w:rsid w:val="0BB81C65"/>
    <w:rsid w:val="0BC90F07"/>
    <w:rsid w:val="0BE777C8"/>
    <w:rsid w:val="0BFA2EF9"/>
    <w:rsid w:val="0C153B5F"/>
    <w:rsid w:val="0C7F4C09"/>
    <w:rsid w:val="0C817B37"/>
    <w:rsid w:val="0C8D3811"/>
    <w:rsid w:val="0CBB74C0"/>
    <w:rsid w:val="0CCA045F"/>
    <w:rsid w:val="0CE01997"/>
    <w:rsid w:val="0D615C23"/>
    <w:rsid w:val="0D71541F"/>
    <w:rsid w:val="0D77520D"/>
    <w:rsid w:val="0D7B3975"/>
    <w:rsid w:val="0D7B6A70"/>
    <w:rsid w:val="0D9E6986"/>
    <w:rsid w:val="0DB90083"/>
    <w:rsid w:val="0DDC358B"/>
    <w:rsid w:val="0DF2180D"/>
    <w:rsid w:val="0E022C81"/>
    <w:rsid w:val="0E037BCA"/>
    <w:rsid w:val="0E0819F6"/>
    <w:rsid w:val="0E554A12"/>
    <w:rsid w:val="0E5B692A"/>
    <w:rsid w:val="0EAD49A7"/>
    <w:rsid w:val="0ED12724"/>
    <w:rsid w:val="0EDF5863"/>
    <w:rsid w:val="0EE15675"/>
    <w:rsid w:val="0F040A6B"/>
    <w:rsid w:val="0F0C6091"/>
    <w:rsid w:val="0F460082"/>
    <w:rsid w:val="0F534A15"/>
    <w:rsid w:val="0F6D4447"/>
    <w:rsid w:val="0F7722CF"/>
    <w:rsid w:val="0F832743"/>
    <w:rsid w:val="0F8E5AA0"/>
    <w:rsid w:val="0F9C78C3"/>
    <w:rsid w:val="0FFC389A"/>
    <w:rsid w:val="107A53D2"/>
    <w:rsid w:val="109450F8"/>
    <w:rsid w:val="10BA29A5"/>
    <w:rsid w:val="10EE5112"/>
    <w:rsid w:val="10F04381"/>
    <w:rsid w:val="11044067"/>
    <w:rsid w:val="11272F45"/>
    <w:rsid w:val="116746B7"/>
    <w:rsid w:val="11A51902"/>
    <w:rsid w:val="11B17381"/>
    <w:rsid w:val="11D977B5"/>
    <w:rsid w:val="1203536E"/>
    <w:rsid w:val="121105C8"/>
    <w:rsid w:val="121D5FAD"/>
    <w:rsid w:val="126D6B96"/>
    <w:rsid w:val="12A53C5D"/>
    <w:rsid w:val="12EF3700"/>
    <w:rsid w:val="13600791"/>
    <w:rsid w:val="13713386"/>
    <w:rsid w:val="1395641B"/>
    <w:rsid w:val="139A0BD8"/>
    <w:rsid w:val="13F1031D"/>
    <w:rsid w:val="14037368"/>
    <w:rsid w:val="140D7D73"/>
    <w:rsid w:val="1436416D"/>
    <w:rsid w:val="143D5EE6"/>
    <w:rsid w:val="143F2334"/>
    <w:rsid w:val="144B1F9C"/>
    <w:rsid w:val="14816AED"/>
    <w:rsid w:val="14F47BD3"/>
    <w:rsid w:val="15263A3E"/>
    <w:rsid w:val="152759DC"/>
    <w:rsid w:val="152B041F"/>
    <w:rsid w:val="15537B06"/>
    <w:rsid w:val="15654F66"/>
    <w:rsid w:val="15F407E7"/>
    <w:rsid w:val="161B057E"/>
    <w:rsid w:val="16266914"/>
    <w:rsid w:val="1638304B"/>
    <w:rsid w:val="16971DBA"/>
    <w:rsid w:val="16A175AC"/>
    <w:rsid w:val="16AB7CE8"/>
    <w:rsid w:val="16DE614F"/>
    <w:rsid w:val="170563AB"/>
    <w:rsid w:val="175B1488"/>
    <w:rsid w:val="175D5152"/>
    <w:rsid w:val="17AF2390"/>
    <w:rsid w:val="17BB0266"/>
    <w:rsid w:val="17DA4909"/>
    <w:rsid w:val="18211735"/>
    <w:rsid w:val="182851A6"/>
    <w:rsid w:val="18A74BFE"/>
    <w:rsid w:val="18AC6245"/>
    <w:rsid w:val="18B735C5"/>
    <w:rsid w:val="18C350E3"/>
    <w:rsid w:val="191F46F3"/>
    <w:rsid w:val="19517857"/>
    <w:rsid w:val="19532C43"/>
    <w:rsid w:val="19963A5D"/>
    <w:rsid w:val="19A13D67"/>
    <w:rsid w:val="19A4260F"/>
    <w:rsid w:val="19A94C62"/>
    <w:rsid w:val="19B71B42"/>
    <w:rsid w:val="19B93929"/>
    <w:rsid w:val="19C03F41"/>
    <w:rsid w:val="19CA51B9"/>
    <w:rsid w:val="19D35D0B"/>
    <w:rsid w:val="19DF2B9E"/>
    <w:rsid w:val="19E226A8"/>
    <w:rsid w:val="19F63B89"/>
    <w:rsid w:val="1A5E3AAB"/>
    <w:rsid w:val="1A637DCA"/>
    <w:rsid w:val="1A6D48D7"/>
    <w:rsid w:val="1A73125A"/>
    <w:rsid w:val="1A880EF9"/>
    <w:rsid w:val="1A9F4660"/>
    <w:rsid w:val="1AC6022B"/>
    <w:rsid w:val="1B247C54"/>
    <w:rsid w:val="1B394674"/>
    <w:rsid w:val="1B5B3698"/>
    <w:rsid w:val="1B8532F6"/>
    <w:rsid w:val="1C0F155E"/>
    <w:rsid w:val="1C3603D5"/>
    <w:rsid w:val="1C6012AB"/>
    <w:rsid w:val="1C6B2E8B"/>
    <w:rsid w:val="1C700C53"/>
    <w:rsid w:val="1CA16BD4"/>
    <w:rsid w:val="1CA3450A"/>
    <w:rsid w:val="1CAC3D27"/>
    <w:rsid w:val="1CCE6A55"/>
    <w:rsid w:val="1CD852E5"/>
    <w:rsid w:val="1D440EA0"/>
    <w:rsid w:val="1D900CFF"/>
    <w:rsid w:val="1DB85BAF"/>
    <w:rsid w:val="1DC966D5"/>
    <w:rsid w:val="1DEF20E7"/>
    <w:rsid w:val="1E015190"/>
    <w:rsid w:val="1E0B3C36"/>
    <w:rsid w:val="1E4D29B0"/>
    <w:rsid w:val="1E555A73"/>
    <w:rsid w:val="1E5A24D6"/>
    <w:rsid w:val="1E683995"/>
    <w:rsid w:val="1E8C0136"/>
    <w:rsid w:val="1EB96CAC"/>
    <w:rsid w:val="1EE76D97"/>
    <w:rsid w:val="1EEF295B"/>
    <w:rsid w:val="1F02266E"/>
    <w:rsid w:val="1F4D62EE"/>
    <w:rsid w:val="1F6D6E4A"/>
    <w:rsid w:val="1F710084"/>
    <w:rsid w:val="1F853A9F"/>
    <w:rsid w:val="1F915C0E"/>
    <w:rsid w:val="1FAF5546"/>
    <w:rsid w:val="1FB67598"/>
    <w:rsid w:val="1FB70859"/>
    <w:rsid w:val="1FBE3DA5"/>
    <w:rsid w:val="1FBF5F56"/>
    <w:rsid w:val="1FE81C2D"/>
    <w:rsid w:val="200F101E"/>
    <w:rsid w:val="203D1E1B"/>
    <w:rsid w:val="204077B6"/>
    <w:rsid w:val="207946A2"/>
    <w:rsid w:val="209B4AD0"/>
    <w:rsid w:val="209C7949"/>
    <w:rsid w:val="20A92721"/>
    <w:rsid w:val="20B4035B"/>
    <w:rsid w:val="20F35ED7"/>
    <w:rsid w:val="20F60A00"/>
    <w:rsid w:val="2112464B"/>
    <w:rsid w:val="212417AC"/>
    <w:rsid w:val="214C48DE"/>
    <w:rsid w:val="21634A43"/>
    <w:rsid w:val="216B5456"/>
    <w:rsid w:val="216F3DAF"/>
    <w:rsid w:val="219B6127"/>
    <w:rsid w:val="21F82FAD"/>
    <w:rsid w:val="2225216F"/>
    <w:rsid w:val="22274950"/>
    <w:rsid w:val="225D0ED6"/>
    <w:rsid w:val="22996256"/>
    <w:rsid w:val="229C23AB"/>
    <w:rsid w:val="22BE2614"/>
    <w:rsid w:val="23783B5A"/>
    <w:rsid w:val="23B105E1"/>
    <w:rsid w:val="23CA2F70"/>
    <w:rsid w:val="24506E5D"/>
    <w:rsid w:val="24701CAC"/>
    <w:rsid w:val="247D4AB4"/>
    <w:rsid w:val="249966E2"/>
    <w:rsid w:val="24A37EFE"/>
    <w:rsid w:val="24B35DF8"/>
    <w:rsid w:val="24EE7B93"/>
    <w:rsid w:val="253F580A"/>
    <w:rsid w:val="2553023B"/>
    <w:rsid w:val="2583776F"/>
    <w:rsid w:val="25C50178"/>
    <w:rsid w:val="25CA380F"/>
    <w:rsid w:val="25E40DB9"/>
    <w:rsid w:val="25E40EC1"/>
    <w:rsid w:val="25E659FF"/>
    <w:rsid w:val="25EA1AF7"/>
    <w:rsid w:val="25EB6C23"/>
    <w:rsid w:val="263A1696"/>
    <w:rsid w:val="263B7E25"/>
    <w:rsid w:val="263F07E6"/>
    <w:rsid w:val="264B4453"/>
    <w:rsid w:val="26683AC0"/>
    <w:rsid w:val="266E616C"/>
    <w:rsid w:val="267D77CA"/>
    <w:rsid w:val="2692234B"/>
    <w:rsid w:val="269462EB"/>
    <w:rsid w:val="26CD376B"/>
    <w:rsid w:val="26FD2793"/>
    <w:rsid w:val="274B28FE"/>
    <w:rsid w:val="276D3693"/>
    <w:rsid w:val="27775819"/>
    <w:rsid w:val="27856CB4"/>
    <w:rsid w:val="278B2841"/>
    <w:rsid w:val="279369D8"/>
    <w:rsid w:val="281B1B54"/>
    <w:rsid w:val="28217B9C"/>
    <w:rsid w:val="283B63AB"/>
    <w:rsid w:val="28527848"/>
    <w:rsid w:val="28580435"/>
    <w:rsid w:val="286B46F3"/>
    <w:rsid w:val="288844E5"/>
    <w:rsid w:val="28913E19"/>
    <w:rsid w:val="28B053EB"/>
    <w:rsid w:val="28F860D0"/>
    <w:rsid w:val="29175994"/>
    <w:rsid w:val="29565F0F"/>
    <w:rsid w:val="29577B95"/>
    <w:rsid w:val="297E032D"/>
    <w:rsid w:val="29930B7B"/>
    <w:rsid w:val="29970313"/>
    <w:rsid w:val="29A07F4C"/>
    <w:rsid w:val="29A50657"/>
    <w:rsid w:val="29EB4F10"/>
    <w:rsid w:val="2A1760C8"/>
    <w:rsid w:val="2A491F78"/>
    <w:rsid w:val="2A557258"/>
    <w:rsid w:val="2A6768A0"/>
    <w:rsid w:val="2A7A4BFE"/>
    <w:rsid w:val="2AA10189"/>
    <w:rsid w:val="2AAB2B1F"/>
    <w:rsid w:val="2AD27817"/>
    <w:rsid w:val="2ADC239F"/>
    <w:rsid w:val="2AE866B6"/>
    <w:rsid w:val="2B4B0D22"/>
    <w:rsid w:val="2B537C56"/>
    <w:rsid w:val="2B607757"/>
    <w:rsid w:val="2B6C1B0B"/>
    <w:rsid w:val="2B75535F"/>
    <w:rsid w:val="2B7F106A"/>
    <w:rsid w:val="2B9A2F19"/>
    <w:rsid w:val="2BA3285B"/>
    <w:rsid w:val="2BD336E9"/>
    <w:rsid w:val="2BF26790"/>
    <w:rsid w:val="2BF64139"/>
    <w:rsid w:val="2C024632"/>
    <w:rsid w:val="2C3F4E25"/>
    <w:rsid w:val="2C7F4490"/>
    <w:rsid w:val="2CA06B87"/>
    <w:rsid w:val="2CA6472B"/>
    <w:rsid w:val="2CB90C8F"/>
    <w:rsid w:val="2CCC01F9"/>
    <w:rsid w:val="2D023F02"/>
    <w:rsid w:val="2D36050B"/>
    <w:rsid w:val="2D5D0AB8"/>
    <w:rsid w:val="2DA213BD"/>
    <w:rsid w:val="2DC72F38"/>
    <w:rsid w:val="2DFF6C25"/>
    <w:rsid w:val="2E054C22"/>
    <w:rsid w:val="2E13361F"/>
    <w:rsid w:val="2E2E4C8D"/>
    <w:rsid w:val="2E2F60D9"/>
    <w:rsid w:val="2E380E3B"/>
    <w:rsid w:val="2E8E04DF"/>
    <w:rsid w:val="2E8F344C"/>
    <w:rsid w:val="2E9361BB"/>
    <w:rsid w:val="2EB26A74"/>
    <w:rsid w:val="2EE965A2"/>
    <w:rsid w:val="2F1768A8"/>
    <w:rsid w:val="2F40540C"/>
    <w:rsid w:val="2F5A3E81"/>
    <w:rsid w:val="2F717431"/>
    <w:rsid w:val="2FCE5783"/>
    <w:rsid w:val="2FD0312A"/>
    <w:rsid w:val="2FDD70B4"/>
    <w:rsid w:val="2FE669C3"/>
    <w:rsid w:val="300A0815"/>
    <w:rsid w:val="302F1C49"/>
    <w:rsid w:val="30536A0B"/>
    <w:rsid w:val="307E0805"/>
    <w:rsid w:val="30895673"/>
    <w:rsid w:val="30972F71"/>
    <w:rsid w:val="30AF0BC8"/>
    <w:rsid w:val="30B24853"/>
    <w:rsid w:val="30BC3D3A"/>
    <w:rsid w:val="30E3103A"/>
    <w:rsid w:val="30E324E6"/>
    <w:rsid w:val="30F13192"/>
    <w:rsid w:val="311A578B"/>
    <w:rsid w:val="312C6972"/>
    <w:rsid w:val="315D0CB2"/>
    <w:rsid w:val="315E208B"/>
    <w:rsid w:val="316C33F5"/>
    <w:rsid w:val="31A30685"/>
    <w:rsid w:val="31BB1005"/>
    <w:rsid w:val="31BC7AA4"/>
    <w:rsid w:val="31E34EF0"/>
    <w:rsid w:val="31F24535"/>
    <w:rsid w:val="31F7549A"/>
    <w:rsid w:val="32062C29"/>
    <w:rsid w:val="320E270A"/>
    <w:rsid w:val="322A618B"/>
    <w:rsid w:val="324345F1"/>
    <w:rsid w:val="327E1BD3"/>
    <w:rsid w:val="329853BA"/>
    <w:rsid w:val="3328107B"/>
    <w:rsid w:val="33423761"/>
    <w:rsid w:val="335348D8"/>
    <w:rsid w:val="337A0DBF"/>
    <w:rsid w:val="338A5ED1"/>
    <w:rsid w:val="33B72A4E"/>
    <w:rsid w:val="33C9603A"/>
    <w:rsid w:val="33D2486F"/>
    <w:rsid w:val="33D66AE8"/>
    <w:rsid w:val="33D70C02"/>
    <w:rsid w:val="33DF408A"/>
    <w:rsid w:val="33E164D3"/>
    <w:rsid w:val="33F46913"/>
    <w:rsid w:val="33FD43CC"/>
    <w:rsid w:val="340A02B5"/>
    <w:rsid w:val="34393924"/>
    <w:rsid w:val="343A251A"/>
    <w:rsid w:val="34604F70"/>
    <w:rsid w:val="34611A8C"/>
    <w:rsid w:val="34725C22"/>
    <w:rsid w:val="34A669BA"/>
    <w:rsid w:val="34C772EB"/>
    <w:rsid w:val="34D579EA"/>
    <w:rsid w:val="350004B1"/>
    <w:rsid w:val="35022DBD"/>
    <w:rsid w:val="357E32E3"/>
    <w:rsid w:val="35AC7C7A"/>
    <w:rsid w:val="35DE7038"/>
    <w:rsid w:val="35FB510C"/>
    <w:rsid w:val="36310066"/>
    <w:rsid w:val="364039EE"/>
    <w:rsid w:val="371759B3"/>
    <w:rsid w:val="3727520B"/>
    <w:rsid w:val="37363040"/>
    <w:rsid w:val="37372A47"/>
    <w:rsid w:val="374B05BF"/>
    <w:rsid w:val="37542799"/>
    <w:rsid w:val="37A06714"/>
    <w:rsid w:val="37A25E4A"/>
    <w:rsid w:val="37C207E5"/>
    <w:rsid w:val="37D1599C"/>
    <w:rsid w:val="37EF45DB"/>
    <w:rsid w:val="37F1085B"/>
    <w:rsid w:val="37FC04A3"/>
    <w:rsid w:val="3802113E"/>
    <w:rsid w:val="380940FC"/>
    <w:rsid w:val="386615A8"/>
    <w:rsid w:val="386C5A67"/>
    <w:rsid w:val="386D5CA9"/>
    <w:rsid w:val="389E6F11"/>
    <w:rsid w:val="38C03A4F"/>
    <w:rsid w:val="38EC7CF6"/>
    <w:rsid w:val="390D5F69"/>
    <w:rsid w:val="39285166"/>
    <w:rsid w:val="39383313"/>
    <w:rsid w:val="39B03B25"/>
    <w:rsid w:val="39B94C72"/>
    <w:rsid w:val="39B96257"/>
    <w:rsid w:val="39F74F9D"/>
    <w:rsid w:val="3A503EE9"/>
    <w:rsid w:val="3AC828B0"/>
    <w:rsid w:val="3ADB521F"/>
    <w:rsid w:val="3B695CD7"/>
    <w:rsid w:val="3B750CA4"/>
    <w:rsid w:val="3B9B32B0"/>
    <w:rsid w:val="3BBF7C11"/>
    <w:rsid w:val="3BC0637A"/>
    <w:rsid w:val="3BE90858"/>
    <w:rsid w:val="3BF01D59"/>
    <w:rsid w:val="3C0F6DBE"/>
    <w:rsid w:val="3C1E7C01"/>
    <w:rsid w:val="3C2B4731"/>
    <w:rsid w:val="3C5E098D"/>
    <w:rsid w:val="3C6608B6"/>
    <w:rsid w:val="3CA81EB5"/>
    <w:rsid w:val="3CB37024"/>
    <w:rsid w:val="3CC23FDF"/>
    <w:rsid w:val="3CDB4FA1"/>
    <w:rsid w:val="3D04798F"/>
    <w:rsid w:val="3D2C505B"/>
    <w:rsid w:val="3D4D74DE"/>
    <w:rsid w:val="3D5D10B2"/>
    <w:rsid w:val="3D621797"/>
    <w:rsid w:val="3DED05A9"/>
    <w:rsid w:val="3E3A2C23"/>
    <w:rsid w:val="3E3D6CCF"/>
    <w:rsid w:val="3E58503D"/>
    <w:rsid w:val="3E5C73DF"/>
    <w:rsid w:val="3E5D097C"/>
    <w:rsid w:val="3E65013F"/>
    <w:rsid w:val="3E7646BB"/>
    <w:rsid w:val="3E8C5D24"/>
    <w:rsid w:val="3E9963D7"/>
    <w:rsid w:val="3EA62BEB"/>
    <w:rsid w:val="3EBA5172"/>
    <w:rsid w:val="3EBF00D9"/>
    <w:rsid w:val="3F0B1706"/>
    <w:rsid w:val="3F3835A2"/>
    <w:rsid w:val="3F3C483E"/>
    <w:rsid w:val="3F4C382C"/>
    <w:rsid w:val="3F54319A"/>
    <w:rsid w:val="3F57658A"/>
    <w:rsid w:val="3FA248AB"/>
    <w:rsid w:val="3FF12096"/>
    <w:rsid w:val="4003359F"/>
    <w:rsid w:val="40225987"/>
    <w:rsid w:val="40227C45"/>
    <w:rsid w:val="402A7DCA"/>
    <w:rsid w:val="40301039"/>
    <w:rsid w:val="40397F0C"/>
    <w:rsid w:val="40423CF8"/>
    <w:rsid w:val="40731583"/>
    <w:rsid w:val="40771CFE"/>
    <w:rsid w:val="4089046A"/>
    <w:rsid w:val="40A32B0F"/>
    <w:rsid w:val="40AC09B9"/>
    <w:rsid w:val="40B20E71"/>
    <w:rsid w:val="40C652D1"/>
    <w:rsid w:val="40F162BB"/>
    <w:rsid w:val="414903E0"/>
    <w:rsid w:val="414E6D9D"/>
    <w:rsid w:val="417D308A"/>
    <w:rsid w:val="417D5A61"/>
    <w:rsid w:val="41896BEF"/>
    <w:rsid w:val="41FD0FB2"/>
    <w:rsid w:val="4205365D"/>
    <w:rsid w:val="42083623"/>
    <w:rsid w:val="42247123"/>
    <w:rsid w:val="425C52E1"/>
    <w:rsid w:val="42B202B9"/>
    <w:rsid w:val="42EE6E5E"/>
    <w:rsid w:val="42FB37F9"/>
    <w:rsid w:val="430042FB"/>
    <w:rsid w:val="43121324"/>
    <w:rsid w:val="435663CD"/>
    <w:rsid w:val="435725C9"/>
    <w:rsid w:val="43602615"/>
    <w:rsid w:val="43920543"/>
    <w:rsid w:val="439D70B2"/>
    <w:rsid w:val="43A4179B"/>
    <w:rsid w:val="43BB4862"/>
    <w:rsid w:val="43DB26E4"/>
    <w:rsid w:val="43E11DE5"/>
    <w:rsid w:val="43EC3769"/>
    <w:rsid w:val="43ED6D81"/>
    <w:rsid w:val="440E76BA"/>
    <w:rsid w:val="442558A6"/>
    <w:rsid w:val="4439673E"/>
    <w:rsid w:val="44783BCC"/>
    <w:rsid w:val="450556CD"/>
    <w:rsid w:val="451416E5"/>
    <w:rsid w:val="45533CFD"/>
    <w:rsid w:val="456F4D96"/>
    <w:rsid w:val="45836BA4"/>
    <w:rsid w:val="45956526"/>
    <w:rsid w:val="459D1683"/>
    <w:rsid w:val="45AD3526"/>
    <w:rsid w:val="45B942B5"/>
    <w:rsid w:val="45E723BF"/>
    <w:rsid w:val="45F34B2D"/>
    <w:rsid w:val="45FB6C14"/>
    <w:rsid w:val="461626C4"/>
    <w:rsid w:val="46211F0A"/>
    <w:rsid w:val="46224141"/>
    <w:rsid w:val="462959CC"/>
    <w:rsid w:val="46304AB9"/>
    <w:rsid w:val="464C207C"/>
    <w:rsid w:val="46732025"/>
    <w:rsid w:val="469043B7"/>
    <w:rsid w:val="46F37BAE"/>
    <w:rsid w:val="46F83EDB"/>
    <w:rsid w:val="47365C71"/>
    <w:rsid w:val="473F1E9E"/>
    <w:rsid w:val="47413903"/>
    <w:rsid w:val="475C7081"/>
    <w:rsid w:val="477F33D4"/>
    <w:rsid w:val="478C2F7C"/>
    <w:rsid w:val="479F32E7"/>
    <w:rsid w:val="47A57134"/>
    <w:rsid w:val="47B50A22"/>
    <w:rsid w:val="47CA362B"/>
    <w:rsid w:val="480568C0"/>
    <w:rsid w:val="480E7B99"/>
    <w:rsid w:val="481A5F87"/>
    <w:rsid w:val="48205292"/>
    <w:rsid w:val="48246F29"/>
    <w:rsid w:val="48272CDD"/>
    <w:rsid w:val="48537D92"/>
    <w:rsid w:val="48574853"/>
    <w:rsid w:val="486C7E58"/>
    <w:rsid w:val="48AF643E"/>
    <w:rsid w:val="48CA4D77"/>
    <w:rsid w:val="48D75449"/>
    <w:rsid w:val="48E06069"/>
    <w:rsid w:val="49102E66"/>
    <w:rsid w:val="493B4D4D"/>
    <w:rsid w:val="49497883"/>
    <w:rsid w:val="494A3254"/>
    <w:rsid w:val="49665F29"/>
    <w:rsid w:val="49745441"/>
    <w:rsid w:val="49F525FA"/>
    <w:rsid w:val="4A31068A"/>
    <w:rsid w:val="4A4E0025"/>
    <w:rsid w:val="4A6036AC"/>
    <w:rsid w:val="4A6D372A"/>
    <w:rsid w:val="4A767D68"/>
    <w:rsid w:val="4A83253A"/>
    <w:rsid w:val="4A890F3C"/>
    <w:rsid w:val="4ADD54EA"/>
    <w:rsid w:val="4AFC7C7F"/>
    <w:rsid w:val="4B803C6D"/>
    <w:rsid w:val="4B887904"/>
    <w:rsid w:val="4B8E79AB"/>
    <w:rsid w:val="4BBD3BD8"/>
    <w:rsid w:val="4C0D2E3D"/>
    <w:rsid w:val="4C1E06B7"/>
    <w:rsid w:val="4C40062D"/>
    <w:rsid w:val="4C470CF1"/>
    <w:rsid w:val="4C8C29A2"/>
    <w:rsid w:val="4CA8291D"/>
    <w:rsid w:val="4CAD3D6F"/>
    <w:rsid w:val="4CAE1DDD"/>
    <w:rsid w:val="4CAF6709"/>
    <w:rsid w:val="4D017469"/>
    <w:rsid w:val="4D2E544B"/>
    <w:rsid w:val="4D6614CB"/>
    <w:rsid w:val="4D86170D"/>
    <w:rsid w:val="4D9235D5"/>
    <w:rsid w:val="4DAD02C9"/>
    <w:rsid w:val="4DB27C67"/>
    <w:rsid w:val="4DF42A56"/>
    <w:rsid w:val="4E0538DC"/>
    <w:rsid w:val="4E144593"/>
    <w:rsid w:val="4E7B603D"/>
    <w:rsid w:val="4EDC533F"/>
    <w:rsid w:val="4EE526FA"/>
    <w:rsid w:val="4F036A2F"/>
    <w:rsid w:val="4F3317A2"/>
    <w:rsid w:val="4F3426FB"/>
    <w:rsid w:val="4F361521"/>
    <w:rsid w:val="4F4819D5"/>
    <w:rsid w:val="4F5F74AD"/>
    <w:rsid w:val="4F8B5C46"/>
    <w:rsid w:val="4FC15B68"/>
    <w:rsid w:val="4FC234E0"/>
    <w:rsid w:val="4FD50B11"/>
    <w:rsid w:val="500557B9"/>
    <w:rsid w:val="50195705"/>
    <w:rsid w:val="50295DE9"/>
    <w:rsid w:val="502E6C49"/>
    <w:rsid w:val="503127EA"/>
    <w:rsid w:val="503815EA"/>
    <w:rsid w:val="50393A54"/>
    <w:rsid w:val="5068747D"/>
    <w:rsid w:val="5086580C"/>
    <w:rsid w:val="50AB1804"/>
    <w:rsid w:val="50BA7945"/>
    <w:rsid w:val="50C37D21"/>
    <w:rsid w:val="50D674A2"/>
    <w:rsid w:val="50E03FB6"/>
    <w:rsid w:val="50E47364"/>
    <w:rsid w:val="50F759BC"/>
    <w:rsid w:val="5125106A"/>
    <w:rsid w:val="512B5EA9"/>
    <w:rsid w:val="5132372E"/>
    <w:rsid w:val="513F796F"/>
    <w:rsid w:val="514A56E5"/>
    <w:rsid w:val="515735F5"/>
    <w:rsid w:val="51992AD7"/>
    <w:rsid w:val="5199482A"/>
    <w:rsid w:val="51FE6DB1"/>
    <w:rsid w:val="5222239B"/>
    <w:rsid w:val="52266794"/>
    <w:rsid w:val="52321D6F"/>
    <w:rsid w:val="52376748"/>
    <w:rsid w:val="52572B18"/>
    <w:rsid w:val="52630BD1"/>
    <w:rsid w:val="52CA77DA"/>
    <w:rsid w:val="52D0510D"/>
    <w:rsid w:val="52ED0DE3"/>
    <w:rsid w:val="530A5A28"/>
    <w:rsid w:val="53884790"/>
    <w:rsid w:val="538C3306"/>
    <w:rsid w:val="53977C77"/>
    <w:rsid w:val="53A7619B"/>
    <w:rsid w:val="53CF6FB6"/>
    <w:rsid w:val="53E12900"/>
    <w:rsid w:val="53EC7CAA"/>
    <w:rsid w:val="53F76D9B"/>
    <w:rsid w:val="53FF190E"/>
    <w:rsid w:val="541E7E6B"/>
    <w:rsid w:val="542411F7"/>
    <w:rsid w:val="543B4180"/>
    <w:rsid w:val="543F7A76"/>
    <w:rsid w:val="54760B59"/>
    <w:rsid w:val="547B2F50"/>
    <w:rsid w:val="548652E1"/>
    <w:rsid w:val="54EB3100"/>
    <w:rsid w:val="55317DE6"/>
    <w:rsid w:val="5558118C"/>
    <w:rsid w:val="55704FC8"/>
    <w:rsid w:val="55746416"/>
    <w:rsid w:val="55826CA0"/>
    <w:rsid w:val="559D0A16"/>
    <w:rsid w:val="55FA30C3"/>
    <w:rsid w:val="56005003"/>
    <w:rsid w:val="5619797B"/>
    <w:rsid w:val="563F3703"/>
    <w:rsid w:val="564C38AB"/>
    <w:rsid w:val="565847C5"/>
    <w:rsid w:val="565F736D"/>
    <w:rsid w:val="56722E86"/>
    <w:rsid w:val="567B4BF1"/>
    <w:rsid w:val="569C4AFE"/>
    <w:rsid w:val="56B676FF"/>
    <w:rsid w:val="56BF2855"/>
    <w:rsid w:val="56C55008"/>
    <w:rsid w:val="56F3629C"/>
    <w:rsid w:val="571A767F"/>
    <w:rsid w:val="57391472"/>
    <w:rsid w:val="574142BB"/>
    <w:rsid w:val="58216CFA"/>
    <w:rsid w:val="582B31E2"/>
    <w:rsid w:val="583C672B"/>
    <w:rsid w:val="583E1B5E"/>
    <w:rsid w:val="584123BD"/>
    <w:rsid w:val="585E30C1"/>
    <w:rsid w:val="58791CF8"/>
    <w:rsid w:val="587F428B"/>
    <w:rsid w:val="58AA0B03"/>
    <w:rsid w:val="58EC2916"/>
    <w:rsid w:val="59196268"/>
    <w:rsid w:val="59357D6B"/>
    <w:rsid w:val="597B56BE"/>
    <w:rsid w:val="599343C0"/>
    <w:rsid w:val="59C77C98"/>
    <w:rsid w:val="59D20140"/>
    <w:rsid w:val="59EA03A6"/>
    <w:rsid w:val="59F61DD6"/>
    <w:rsid w:val="5A991127"/>
    <w:rsid w:val="5AAA2693"/>
    <w:rsid w:val="5B0256D5"/>
    <w:rsid w:val="5B056BFC"/>
    <w:rsid w:val="5B1A2450"/>
    <w:rsid w:val="5B295376"/>
    <w:rsid w:val="5B433C96"/>
    <w:rsid w:val="5B5B5764"/>
    <w:rsid w:val="5B8B0558"/>
    <w:rsid w:val="5B8C5C26"/>
    <w:rsid w:val="5B946320"/>
    <w:rsid w:val="5B9F4660"/>
    <w:rsid w:val="5BAC7E2B"/>
    <w:rsid w:val="5BB7335B"/>
    <w:rsid w:val="5BE03289"/>
    <w:rsid w:val="5C02544E"/>
    <w:rsid w:val="5C1C174F"/>
    <w:rsid w:val="5C2765A1"/>
    <w:rsid w:val="5C590786"/>
    <w:rsid w:val="5C5C5213"/>
    <w:rsid w:val="5C796705"/>
    <w:rsid w:val="5C962D13"/>
    <w:rsid w:val="5CBB058B"/>
    <w:rsid w:val="5CE93F74"/>
    <w:rsid w:val="5D0F5F3C"/>
    <w:rsid w:val="5D5C206A"/>
    <w:rsid w:val="5D63357F"/>
    <w:rsid w:val="5D887AC3"/>
    <w:rsid w:val="5D945092"/>
    <w:rsid w:val="5DEE02CB"/>
    <w:rsid w:val="5DF979BC"/>
    <w:rsid w:val="5E4905E8"/>
    <w:rsid w:val="5E5238CE"/>
    <w:rsid w:val="5E5A40EF"/>
    <w:rsid w:val="5E6020CA"/>
    <w:rsid w:val="5E62016B"/>
    <w:rsid w:val="5E66527D"/>
    <w:rsid w:val="5E704EF2"/>
    <w:rsid w:val="5EA2175A"/>
    <w:rsid w:val="5EB41C44"/>
    <w:rsid w:val="5EB87AA4"/>
    <w:rsid w:val="5EC85F28"/>
    <w:rsid w:val="5ED43147"/>
    <w:rsid w:val="5EE55EF0"/>
    <w:rsid w:val="5EE95E6D"/>
    <w:rsid w:val="5EEEC0DB"/>
    <w:rsid w:val="5EF14313"/>
    <w:rsid w:val="5EF17565"/>
    <w:rsid w:val="5F2B2A77"/>
    <w:rsid w:val="5F436248"/>
    <w:rsid w:val="5F4B2515"/>
    <w:rsid w:val="5F5B1D1D"/>
    <w:rsid w:val="5F8963A1"/>
    <w:rsid w:val="5F8A5A24"/>
    <w:rsid w:val="5F9A19AB"/>
    <w:rsid w:val="5F9B6B77"/>
    <w:rsid w:val="5FA479F8"/>
    <w:rsid w:val="5FCB2C54"/>
    <w:rsid w:val="5FDA624B"/>
    <w:rsid w:val="60095DE7"/>
    <w:rsid w:val="60183B62"/>
    <w:rsid w:val="6027474E"/>
    <w:rsid w:val="605108C1"/>
    <w:rsid w:val="60654BC2"/>
    <w:rsid w:val="60A43B18"/>
    <w:rsid w:val="60A86E0A"/>
    <w:rsid w:val="60BA4918"/>
    <w:rsid w:val="60BB76FC"/>
    <w:rsid w:val="60E20E04"/>
    <w:rsid w:val="61216BA2"/>
    <w:rsid w:val="612518DE"/>
    <w:rsid w:val="612A6F3D"/>
    <w:rsid w:val="61342D73"/>
    <w:rsid w:val="61394944"/>
    <w:rsid w:val="61406582"/>
    <w:rsid w:val="61551741"/>
    <w:rsid w:val="61926E90"/>
    <w:rsid w:val="619D7FE4"/>
    <w:rsid w:val="61BE201D"/>
    <w:rsid w:val="61C13A80"/>
    <w:rsid w:val="61C371F8"/>
    <w:rsid w:val="61CE6EDA"/>
    <w:rsid w:val="61DF1E42"/>
    <w:rsid w:val="61F749D9"/>
    <w:rsid w:val="61FB3722"/>
    <w:rsid w:val="62493EF4"/>
    <w:rsid w:val="62631670"/>
    <w:rsid w:val="62984E68"/>
    <w:rsid w:val="62AA5F92"/>
    <w:rsid w:val="62C97BE4"/>
    <w:rsid w:val="62D76EDA"/>
    <w:rsid w:val="62EF200D"/>
    <w:rsid w:val="631F5AB4"/>
    <w:rsid w:val="636537C3"/>
    <w:rsid w:val="63933664"/>
    <w:rsid w:val="63F13823"/>
    <w:rsid w:val="64030B0C"/>
    <w:rsid w:val="64166206"/>
    <w:rsid w:val="642B52C7"/>
    <w:rsid w:val="643E2E59"/>
    <w:rsid w:val="644200A5"/>
    <w:rsid w:val="64432FD3"/>
    <w:rsid w:val="64465F16"/>
    <w:rsid w:val="645C73AA"/>
    <w:rsid w:val="64A25A49"/>
    <w:rsid w:val="64B742F0"/>
    <w:rsid w:val="6512672E"/>
    <w:rsid w:val="652065D0"/>
    <w:rsid w:val="652B47FF"/>
    <w:rsid w:val="65545EEE"/>
    <w:rsid w:val="656663ED"/>
    <w:rsid w:val="65994E52"/>
    <w:rsid w:val="659D50B1"/>
    <w:rsid w:val="65BD6CC2"/>
    <w:rsid w:val="661302C6"/>
    <w:rsid w:val="662F7673"/>
    <w:rsid w:val="663C0D3B"/>
    <w:rsid w:val="66550D59"/>
    <w:rsid w:val="665F7B80"/>
    <w:rsid w:val="6668513A"/>
    <w:rsid w:val="667E2FBC"/>
    <w:rsid w:val="66CA2331"/>
    <w:rsid w:val="66DA197B"/>
    <w:rsid w:val="66E743B6"/>
    <w:rsid w:val="66FB15E3"/>
    <w:rsid w:val="670A401F"/>
    <w:rsid w:val="67103B55"/>
    <w:rsid w:val="6715675A"/>
    <w:rsid w:val="672B1A53"/>
    <w:rsid w:val="672C3B07"/>
    <w:rsid w:val="677A49BE"/>
    <w:rsid w:val="677D59E8"/>
    <w:rsid w:val="688C3F71"/>
    <w:rsid w:val="68AF2BAD"/>
    <w:rsid w:val="68BD6E8B"/>
    <w:rsid w:val="68C667CA"/>
    <w:rsid w:val="68E80789"/>
    <w:rsid w:val="68EF2D67"/>
    <w:rsid w:val="69542E3D"/>
    <w:rsid w:val="6956461E"/>
    <w:rsid w:val="695F19D1"/>
    <w:rsid w:val="6963101F"/>
    <w:rsid w:val="69855288"/>
    <w:rsid w:val="699C6029"/>
    <w:rsid w:val="699E12C3"/>
    <w:rsid w:val="69A461A3"/>
    <w:rsid w:val="69FF0867"/>
    <w:rsid w:val="6A023C41"/>
    <w:rsid w:val="6A1C55DC"/>
    <w:rsid w:val="6A551EDA"/>
    <w:rsid w:val="6A7D6E4F"/>
    <w:rsid w:val="6A8A7117"/>
    <w:rsid w:val="6AA32CAC"/>
    <w:rsid w:val="6AA92D29"/>
    <w:rsid w:val="6AAA5523"/>
    <w:rsid w:val="6AEB6A56"/>
    <w:rsid w:val="6B043BEE"/>
    <w:rsid w:val="6B225783"/>
    <w:rsid w:val="6B5248D3"/>
    <w:rsid w:val="6B673089"/>
    <w:rsid w:val="6B857E9D"/>
    <w:rsid w:val="6B880ED5"/>
    <w:rsid w:val="6B977926"/>
    <w:rsid w:val="6BE72DB3"/>
    <w:rsid w:val="6C225202"/>
    <w:rsid w:val="6C336F12"/>
    <w:rsid w:val="6C437D5C"/>
    <w:rsid w:val="6C656AB6"/>
    <w:rsid w:val="6CCB7026"/>
    <w:rsid w:val="6D280C82"/>
    <w:rsid w:val="6D77044E"/>
    <w:rsid w:val="6DBB3160"/>
    <w:rsid w:val="6DD8313C"/>
    <w:rsid w:val="6DE00BB8"/>
    <w:rsid w:val="6DE75B52"/>
    <w:rsid w:val="6DEE732A"/>
    <w:rsid w:val="6DF024B4"/>
    <w:rsid w:val="6E30704F"/>
    <w:rsid w:val="6E453CA8"/>
    <w:rsid w:val="6E7E9A8D"/>
    <w:rsid w:val="6EA12D56"/>
    <w:rsid w:val="6EAA1546"/>
    <w:rsid w:val="6EAF43DA"/>
    <w:rsid w:val="6EB15B9D"/>
    <w:rsid w:val="6ED813DF"/>
    <w:rsid w:val="6EDF2727"/>
    <w:rsid w:val="6EDF562C"/>
    <w:rsid w:val="6EEA7CEA"/>
    <w:rsid w:val="6EED2942"/>
    <w:rsid w:val="6EF4039C"/>
    <w:rsid w:val="6F192E49"/>
    <w:rsid w:val="6F3B0E51"/>
    <w:rsid w:val="6F5D06C3"/>
    <w:rsid w:val="6F670F2D"/>
    <w:rsid w:val="6F6C779C"/>
    <w:rsid w:val="6F72024E"/>
    <w:rsid w:val="6F780949"/>
    <w:rsid w:val="6F8E06B6"/>
    <w:rsid w:val="6F9E18DA"/>
    <w:rsid w:val="6F9E6FAE"/>
    <w:rsid w:val="6FAB3F0E"/>
    <w:rsid w:val="6FB23BA1"/>
    <w:rsid w:val="6FBA459C"/>
    <w:rsid w:val="6FBA5A02"/>
    <w:rsid w:val="6FEF22BD"/>
    <w:rsid w:val="70001BC6"/>
    <w:rsid w:val="70180DF6"/>
    <w:rsid w:val="70217BD0"/>
    <w:rsid w:val="70353A57"/>
    <w:rsid w:val="70411490"/>
    <w:rsid w:val="70552E1D"/>
    <w:rsid w:val="705F68C1"/>
    <w:rsid w:val="70626023"/>
    <w:rsid w:val="70B6231A"/>
    <w:rsid w:val="70B80819"/>
    <w:rsid w:val="70CA6E7F"/>
    <w:rsid w:val="70D22894"/>
    <w:rsid w:val="71094BE2"/>
    <w:rsid w:val="71163E2D"/>
    <w:rsid w:val="711E12C6"/>
    <w:rsid w:val="71201698"/>
    <w:rsid w:val="714040DC"/>
    <w:rsid w:val="7157172B"/>
    <w:rsid w:val="71B456D2"/>
    <w:rsid w:val="71BD4225"/>
    <w:rsid w:val="72060E1B"/>
    <w:rsid w:val="72141F89"/>
    <w:rsid w:val="72637D72"/>
    <w:rsid w:val="72706713"/>
    <w:rsid w:val="72740A7A"/>
    <w:rsid w:val="72761D77"/>
    <w:rsid w:val="727C6062"/>
    <w:rsid w:val="72EF6609"/>
    <w:rsid w:val="72FB728A"/>
    <w:rsid w:val="72FF663B"/>
    <w:rsid w:val="73350B82"/>
    <w:rsid w:val="733903E0"/>
    <w:rsid w:val="736D4036"/>
    <w:rsid w:val="737A2441"/>
    <w:rsid w:val="73896CE6"/>
    <w:rsid w:val="739369CF"/>
    <w:rsid w:val="73B53BD9"/>
    <w:rsid w:val="73D135BD"/>
    <w:rsid w:val="73D95E50"/>
    <w:rsid w:val="73DE476F"/>
    <w:rsid w:val="740C2B3D"/>
    <w:rsid w:val="74390434"/>
    <w:rsid w:val="745368A7"/>
    <w:rsid w:val="74660C1A"/>
    <w:rsid w:val="7485219A"/>
    <w:rsid w:val="748D4063"/>
    <w:rsid w:val="74B07B90"/>
    <w:rsid w:val="74B75332"/>
    <w:rsid w:val="74B75798"/>
    <w:rsid w:val="74B81E06"/>
    <w:rsid w:val="74C157C5"/>
    <w:rsid w:val="75083042"/>
    <w:rsid w:val="750F7709"/>
    <w:rsid w:val="75232182"/>
    <w:rsid w:val="758174B9"/>
    <w:rsid w:val="758339E8"/>
    <w:rsid w:val="7587098F"/>
    <w:rsid w:val="758B0D67"/>
    <w:rsid w:val="758B6ED8"/>
    <w:rsid w:val="75ED7958"/>
    <w:rsid w:val="75F35E09"/>
    <w:rsid w:val="7607138B"/>
    <w:rsid w:val="76340700"/>
    <w:rsid w:val="765E6DFC"/>
    <w:rsid w:val="768B72A5"/>
    <w:rsid w:val="76BA5651"/>
    <w:rsid w:val="76DFCED0"/>
    <w:rsid w:val="76F840A6"/>
    <w:rsid w:val="77157F51"/>
    <w:rsid w:val="7726401D"/>
    <w:rsid w:val="773C3A64"/>
    <w:rsid w:val="775B5CFB"/>
    <w:rsid w:val="77611DAB"/>
    <w:rsid w:val="77E57D6C"/>
    <w:rsid w:val="77EC00DE"/>
    <w:rsid w:val="78400B3C"/>
    <w:rsid w:val="786C3F5E"/>
    <w:rsid w:val="78703E7C"/>
    <w:rsid w:val="788D5CE2"/>
    <w:rsid w:val="78990820"/>
    <w:rsid w:val="789E0495"/>
    <w:rsid w:val="78B67408"/>
    <w:rsid w:val="78ED3CAC"/>
    <w:rsid w:val="78F3372D"/>
    <w:rsid w:val="7910337A"/>
    <w:rsid w:val="79BE31CC"/>
    <w:rsid w:val="79DE6F64"/>
    <w:rsid w:val="79FFF716"/>
    <w:rsid w:val="7A034C69"/>
    <w:rsid w:val="7A1B0A08"/>
    <w:rsid w:val="7A362692"/>
    <w:rsid w:val="7A5032AB"/>
    <w:rsid w:val="7A564E34"/>
    <w:rsid w:val="7A9674E6"/>
    <w:rsid w:val="7A992F7D"/>
    <w:rsid w:val="7ABD7825"/>
    <w:rsid w:val="7AE95FDF"/>
    <w:rsid w:val="7B5307EB"/>
    <w:rsid w:val="7B5452D0"/>
    <w:rsid w:val="7B5A2573"/>
    <w:rsid w:val="7B607AF4"/>
    <w:rsid w:val="7B6C62DA"/>
    <w:rsid w:val="7B903B32"/>
    <w:rsid w:val="7BAF913E"/>
    <w:rsid w:val="7BBA084F"/>
    <w:rsid w:val="7BD11CBC"/>
    <w:rsid w:val="7C0C331A"/>
    <w:rsid w:val="7C137CF8"/>
    <w:rsid w:val="7C247FD6"/>
    <w:rsid w:val="7C305719"/>
    <w:rsid w:val="7C3C5DE4"/>
    <w:rsid w:val="7C426E6E"/>
    <w:rsid w:val="7C520783"/>
    <w:rsid w:val="7CBA23F7"/>
    <w:rsid w:val="7CBE7BEB"/>
    <w:rsid w:val="7CBF2AF4"/>
    <w:rsid w:val="7CE1780D"/>
    <w:rsid w:val="7CEA3B1A"/>
    <w:rsid w:val="7D113138"/>
    <w:rsid w:val="7D436131"/>
    <w:rsid w:val="7D53280F"/>
    <w:rsid w:val="7D8549E6"/>
    <w:rsid w:val="7DB16C12"/>
    <w:rsid w:val="7DB61F7A"/>
    <w:rsid w:val="7DDA4FF4"/>
    <w:rsid w:val="7DFB0E44"/>
    <w:rsid w:val="7E1A0326"/>
    <w:rsid w:val="7E306AB7"/>
    <w:rsid w:val="7E6E3EFA"/>
    <w:rsid w:val="7E842D55"/>
    <w:rsid w:val="7E964F33"/>
    <w:rsid w:val="7EB56753"/>
    <w:rsid w:val="7EE70D47"/>
    <w:rsid w:val="7EFF4E03"/>
    <w:rsid w:val="7F061ED3"/>
    <w:rsid w:val="7F241342"/>
    <w:rsid w:val="7F405CE5"/>
    <w:rsid w:val="7F59544F"/>
    <w:rsid w:val="7F7BEC42"/>
    <w:rsid w:val="7F9F2832"/>
    <w:rsid w:val="7FBF003E"/>
    <w:rsid w:val="7FFDEC86"/>
    <w:rsid w:val="99CF73CE"/>
    <w:rsid w:val="9FEFD04E"/>
    <w:rsid w:val="B5FA88C7"/>
    <w:rsid w:val="DB3F2920"/>
    <w:rsid w:val="DF71B635"/>
    <w:rsid w:val="E3F6E58E"/>
    <w:rsid w:val="EFAF52D1"/>
    <w:rsid w:val="EFC30B49"/>
    <w:rsid w:val="F95EBA13"/>
    <w:rsid w:val="FB779ADE"/>
    <w:rsid w:val="FC713C01"/>
    <w:rsid w:val="FDB07DD9"/>
    <w:rsid w:val="FF722C6E"/>
    <w:rsid w:val="FFBA2238"/>
    <w:rsid w:val="FFE7F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3">
    <w:name w:val="heading 1"/>
    <w:next w:val="1"/>
    <w:qFormat/>
    <w:uiPriority w:val="9"/>
    <w:pPr>
      <w:keepNext/>
      <w:keepLines/>
      <w:numPr>
        <w:ilvl w:val="0"/>
        <w:numId w:val="1"/>
      </w:numPr>
      <w:spacing w:line="360" w:lineRule="auto"/>
      <w:outlineLvl w:val="0"/>
    </w:pPr>
    <w:rPr>
      <w:rFonts w:ascii="Times New Roman" w:hAnsi="Times New Roman" w:eastAsia="黑体" w:cstheme="minorBidi"/>
      <w:b/>
      <w:bCs/>
      <w:kern w:val="44"/>
      <w:sz w:val="32"/>
      <w:szCs w:val="44"/>
      <w:lang w:val="en-US" w:eastAsia="zh-CN" w:bidi="ar-SA"/>
    </w:rPr>
  </w:style>
  <w:style w:type="paragraph" w:styleId="4">
    <w:name w:val="heading 2"/>
    <w:next w:val="1"/>
    <w:semiHidden/>
    <w:unhideWhenUsed/>
    <w:qFormat/>
    <w:uiPriority w:val="9"/>
    <w:pPr>
      <w:keepLines/>
      <w:numPr>
        <w:ilvl w:val="1"/>
        <w:numId w:val="1"/>
      </w:numPr>
      <w:spacing w:line="360" w:lineRule="auto"/>
      <w:outlineLvl w:val="1"/>
    </w:pPr>
    <w:rPr>
      <w:rFonts w:ascii="Times New Roman" w:hAnsi="Times New Roman" w:eastAsia="黑体" w:cstheme="majorBidi"/>
      <w:b/>
      <w:bCs/>
      <w:kern w:val="2"/>
      <w:sz w:val="30"/>
      <w:szCs w:val="30"/>
      <w:lang w:val="en-US" w:eastAsia="zh-CN" w:bidi="ar-SA"/>
    </w:rPr>
  </w:style>
  <w:style w:type="paragraph" w:styleId="5">
    <w:name w:val="heading 3"/>
    <w:basedOn w:val="1"/>
    <w:next w:val="1"/>
    <w:semiHidden/>
    <w:unhideWhenUsed/>
    <w:qFormat/>
    <w:uiPriority w:val="9"/>
    <w:pPr>
      <w:numPr>
        <w:ilvl w:val="2"/>
        <w:numId w:val="1"/>
      </w:numPr>
      <w:spacing w:beforeAutospacing="1" w:afterAutospacing="1"/>
      <w:jc w:val="left"/>
      <w:outlineLvl w:val="2"/>
    </w:pPr>
    <w:rPr>
      <w:rFonts w:hint="eastAsia" w:ascii="宋体" w:hAnsi="宋体"/>
      <w:b/>
      <w:bCs/>
      <w:kern w:val="0"/>
      <w:sz w:val="24"/>
      <w:szCs w:val="24"/>
    </w:rPr>
  </w:style>
  <w:style w:type="paragraph" w:styleId="6">
    <w:name w:val="heading 4"/>
    <w:next w:val="1"/>
    <w:semiHidden/>
    <w:unhideWhenUsed/>
    <w:qFormat/>
    <w:uiPriority w:val="9"/>
    <w:pPr>
      <w:keepNext/>
      <w:keepLines/>
      <w:numPr>
        <w:ilvl w:val="3"/>
        <w:numId w:val="1"/>
      </w:numPr>
      <w:spacing w:line="360" w:lineRule="auto"/>
      <w:outlineLvl w:val="3"/>
    </w:pPr>
    <w:rPr>
      <w:rFonts w:ascii="Times New Roman" w:hAnsi="Times New Roman" w:eastAsia="黑体" w:cstheme="majorBidi"/>
      <w:b/>
      <w:bCs/>
      <w:kern w:val="2"/>
      <w:sz w:val="28"/>
      <w:szCs w:val="28"/>
      <w:lang w:val="en-US" w:eastAsia="zh-CN" w:bidi="ar-SA"/>
    </w:rPr>
  </w:style>
  <w:style w:type="paragraph" w:styleId="7">
    <w:name w:val="heading 5"/>
    <w:basedOn w:val="1"/>
    <w:next w:val="1"/>
    <w:semiHidden/>
    <w:unhideWhenUsed/>
    <w:qFormat/>
    <w:uiPriority w:val="9"/>
    <w:pPr>
      <w:keepNext/>
      <w:keepLines/>
      <w:numPr>
        <w:ilvl w:val="4"/>
        <w:numId w:val="1"/>
      </w:numPr>
      <w:spacing w:line="360" w:lineRule="auto"/>
      <w:outlineLvl w:val="4"/>
    </w:pPr>
    <w:rPr>
      <w:b/>
      <w:sz w:val="28"/>
    </w:rPr>
  </w:style>
  <w:style w:type="paragraph" w:styleId="8">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widowControl/>
      <w:ind w:firstLine="480"/>
    </w:pPr>
    <w:rPr>
      <w:rFonts w:ascii="Arial" w:hAnsi="Arial" w:eastAsia="宋体" w:cs="Times New Roman"/>
    </w:rPr>
  </w:style>
  <w:style w:type="paragraph" w:styleId="12">
    <w:name w:val="Normal Indent"/>
    <w:basedOn w:val="1"/>
    <w:qFormat/>
    <w:uiPriority w:val="0"/>
    <w:pPr>
      <w:spacing w:line="500" w:lineRule="exact"/>
      <w:ind w:right="26" w:rightChars="8" w:firstLine="640"/>
    </w:pPr>
    <w:rPr>
      <w:rFonts w:ascii="楷体_GB2312" w:eastAsia="楷体_GB2312"/>
      <w:sz w:val="30"/>
      <w:szCs w:val="32"/>
    </w:rPr>
  </w:style>
  <w:style w:type="paragraph" w:styleId="13">
    <w:name w:val="annotation text"/>
    <w:basedOn w:val="1"/>
    <w:semiHidden/>
    <w:unhideWhenUsed/>
    <w:qFormat/>
    <w:uiPriority w:val="99"/>
    <w:pPr>
      <w:jc w:val="left"/>
    </w:pPr>
  </w:style>
  <w:style w:type="paragraph" w:styleId="14">
    <w:name w:val="Body Text"/>
    <w:basedOn w:val="1"/>
    <w:next w:val="1"/>
    <w:qFormat/>
    <w:uiPriority w:val="0"/>
    <w:pPr>
      <w:jc w:val="center"/>
    </w:pPr>
    <w:rPr>
      <w:rFonts w:ascii="宋体"/>
      <w:b/>
      <w:sz w:val="44"/>
    </w:rPr>
  </w:style>
  <w:style w:type="paragraph" w:styleId="15">
    <w:name w:val="Body Text Indent"/>
    <w:basedOn w:val="1"/>
    <w:next w:val="16"/>
    <w:qFormat/>
    <w:uiPriority w:val="0"/>
    <w:pPr>
      <w:spacing w:line="500" w:lineRule="exact"/>
      <w:ind w:left="1102" w:leftChars="349" w:firstLine="1"/>
    </w:pPr>
  </w:style>
  <w:style w:type="paragraph" w:styleId="16">
    <w:name w:val="Body Text Indent 2"/>
    <w:basedOn w:val="1"/>
    <w:qFormat/>
    <w:uiPriority w:val="0"/>
    <w:pPr>
      <w:spacing w:line="600" w:lineRule="exact"/>
      <w:ind w:left="1264" w:leftChars="100" w:hanging="948" w:hangingChars="300"/>
    </w:pPr>
    <w:rPr>
      <w:rFonts w:eastAsia="宋体"/>
    </w:rPr>
  </w:style>
  <w:style w:type="paragraph" w:styleId="17">
    <w:name w:val="Plain Text"/>
    <w:basedOn w:val="1"/>
    <w:qFormat/>
    <w:uiPriority w:val="0"/>
    <w:rPr>
      <w:rFonts w:hAnsi="Courier New"/>
    </w:rPr>
  </w:style>
  <w:style w:type="paragraph" w:styleId="18">
    <w:name w:val="footer"/>
    <w:basedOn w:val="1"/>
    <w:link w:val="34"/>
    <w:unhideWhenUsed/>
    <w:qFormat/>
    <w:uiPriority w:val="99"/>
    <w:pPr>
      <w:tabs>
        <w:tab w:val="center" w:pos="4153"/>
        <w:tab w:val="right" w:pos="8306"/>
      </w:tabs>
      <w:snapToGrid w:val="0"/>
      <w:jc w:val="left"/>
    </w:pPr>
    <w:rPr>
      <w:sz w:val="18"/>
      <w:szCs w:val="18"/>
    </w:rPr>
  </w:style>
  <w:style w:type="paragraph" w:styleId="19">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2"/>
    <w:basedOn w:val="1"/>
    <w:next w:val="1"/>
    <w:qFormat/>
    <w:uiPriority w:val="39"/>
    <w:pPr>
      <w:tabs>
        <w:tab w:val="left" w:pos="709"/>
        <w:tab w:val="right" w:leader="dot" w:pos="8296"/>
      </w:tabs>
      <w:ind w:left="420" w:leftChars="200"/>
    </w:pPr>
    <w:rPr>
      <w:rFonts w:eastAsia="黑体"/>
      <w:bCs/>
      <w:kern w:val="0"/>
    </w:rPr>
  </w:style>
  <w:style w:type="paragraph" w:styleId="2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2">
    <w:name w:val="Body Text First Indent 2"/>
    <w:basedOn w:val="15"/>
    <w:next w:val="1"/>
    <w:qFormat/>
    <w:uiPriority w:val="0"/>
    <w:pPr>
      <w:ind w:left="420" w:leftChars="200" w:firstLine="420" w:firstLineChars="200"/>
    </w:pPr>
    <w:rPr>
      <w:rFonts w:cs="方正仿宋_GBK"/>
      <w:bCs/>
      <w:sz w:val="36"/>
      <w:szCs w:val="36"/>
    </w:rPr>
  </w:style>
  <w:style w:type="character" w:styleId="25">
    <w:name w:val="Emphasis"/>
    <w:basedOn w:val="24"/>
    <w:qFormat/>
    <w:uiPriority w:val="20"/>
    <w:rPr>
      <w:i/>
    </w:rPr>
  </w:style>
  <w:style w:type="character" w:styleId="26">
    <w:name w:val="annotation reference"/>
    <w:basedOn w:val="24"/>
    <w:semiHidden/>
    <w:unhideWhenUsed/>
    <w:qFormat/>
    <w:uiPriority w:val="99"/>
    <w:rPr>
      <w:sz w:val="21"/>
      <w:szCs w:val="21"/>
    </w:rPr>
  </w:style>
  <w:style w:type="paragraph" w:customStyle="1" w:styleId="27">
    <w:name w:val="M表标题"/>
    <w:next w:val="28"/>
    <w:link w:val="29"/>
    <w:qFormat/>
    <w:uiPriority w:val="0"/>
    <w:pPr>
      <w:keepNext/>
      <w:spacing w:line="360" w:lineRule="auto"/>
      <w:jc w:val="center"/>
      <w:outlineLvl w:val="5"/>
    </w:pPr>
    <w:rPr>
      <w:rFonts w:ascii="Times New Roman" w:hAnsi="Times New Roman" w:eastAsia="黑体" w:cstheme="minorBidi"/>
      <w:b/>
      <w:bCs/>
      <w:kern w:val="2"/>
      <w:sz w:val="24"/>
      <w:szCs w:val="24"/>
      <w:lang w:val="en-US" w:eastAsia="zh-CN" w:bidi="ar-SA"/>
    </w:rPr>
  </w:style>
  <w:style w:type="paragraph" w:customStyle="1" w:styleId="28">
    <w:name w:val="M报告正文"/>
    <w:link w:val="31"/>
    <w:qFormat/>
    <w:uiPriority w:val="0"/>
    <w:pPr>
      <w:widowControl w:val="0"/>
      <w:adjustRightInd w:val="0"/>
      <w:snapToGrid w:val="0"/>
      <w:spacing w:line="360" w:lineRule="auto"/>
      <w:ind w:firstLine="200" w:firstLineChars="200"/>
      <w:jc w:val="both"/>
    </w:pPr>
    <w:rPr>
      <w:rFonts w:ascii="Times New Roman" w:hAnsi="Times New Roman" w:eastAsia="宋体" w:cstheme="minorBidi"/>
      <w:kern w:val="2"/>
      <w:sz w:val="24"/>
      <w:szCs w:val="21"/>
      <w:lang w:val="en-US" w:eastAsia="zh-CN" w:bidi="ar-SA"/>
    </w:rPr>
  </w:style>
  <w:style w:type="character" w:customStyle="1" w:styleId="29">
    <w:name w:val="M表标题 Char"/>
    <w:basedOn w:val="24"/>
    <w:link w:val="27"/>
    <w:qFormat/>
    <w:uiPriority w:val="0"/>
    <w:rPr>
      <w:rFonts w:ascii="Times New Roman" w:hAnsi="Times New Roman" w:eastAsia="黑体"/>
      <w:b/>
      <w:bCs/>
      <w:sz w:val="24"/>
      <w:szCs w:val="24"/>
    </w:rPr>
  </w:style>
  <w:style w:type="paragraph" w:customStyle="1" w:styleId="30">
    <w:name w:val="默认段落字体 Para Char Char Char Char"/>
    <w:basedOn w:val="1"/>
    <w:qFormat/>
    <w:uiPriority w:val="0"/>
    <w:pPr>
      <w:spacing w:line="360" w:lineRule="auto"/>
      <w:ind w:firstLine="200" w:firstLineChars="200"/>
    </w:pPr>
  </w:style>
  <w:style w:type="character" w:customStyle="1" w:styleId="31">
    <w:name w:val="M报告正文 Char"/>
    <w:basedOn w:val="24"/>
    <w:link w:val="28"/>
    <w:qFormat/>
    <w:uiPriority w:val="0"/>
    <w:rPr>
      <w:rFonts w:ascii="Times New Roman" w:hAnsi="Times New Roman" w:eastAsia="宋体"/>
      <w:sz w:val="24"/>
      <w:szCs w:val="21"/>
    </w:rPr>
  </w:style>
  <w:style w:type="paragraph" w:styleId="32">
    <w:name w:val="List Paragraph"/>
    <w:basedOn w:val="1"/>
    <w:qFormat/>
    <w:uiPriority w:val="34"/>
    <w:pPr>
      <w:ind w:firstLine="420" w:firstLineChars="200"/>
    </w:pPr>
  </w:style>
  <w:style w:type="character" w:customStyle="1" w:styleId="33">
    <w:name w:val="页眉 字符"/>
    <w:basedOn w:val="24"/>
    <w:link w:val="19"/>
    <w:qFormat/>
    <w:uiPriority w:val="99"/>
    <w:rPr>
      <w:rFonts w:ascii="Times New Roman" w:hAnsi="Times New Roman" w:eastAsia="宋体" w:cs="Times New Roman"/>
      <w:sz w:val="18"/>
      <w:szCs w:val="18"/>
    </w:rPr>
  </w:style>
  <w:style w:type="character" w:customStyle="1" w:styleId="34">
    <w:name w:val="页脚 字符"/>
    <w:basedOn w:val="24"/>
    <w:link w:val="18"/>
    <w:qFormat/>
    <w:uiPriority w:val="99"/>
    <w:rPr>
      <w:rFonts w:ascii="Times New Roman" w:hAnsi="Times New Roman" w:eastAsia="宋体" w:cs="Times New Roman"/>
      <w:sz w:val="18"/>
      <w:szCs w:val="18"/>
    </w:rPr>
  </w:style>
  <w:style w:type="paragraph" w:customStyle="1" w:styleId="35">
    <w:name w:val="修订1"/>
    <w:hidden/>
    <w:semiHidden/>
    <w:qFormat/>
    <w:uiPriority w:val="99"/>
    <w:rPr>
      <w:rFonts w:ascii="Times New Roman" w:hAnsi="Times New Roman" w:eastAsia="宋体" w:cs="Times New Roman"/>
      <w:kern w:val="2"/>
      <w:sz w:val="21"/>
      <w:lang w:val="en-US" w:eastAsia="zh-CN" w:bidi="ar-SA"/>
    </w:rPr>
  </w:style>
  <w:style w:type="paragraph" w:customStyle="1" w:styleId="36">
    <w:name w:val="修订2"/>
    <w:hidden/>
    <w:semiHidden/>
    <w:qFormat/>
    <w:uiPriority w:val="99"/>
    <w:rPr>
      <w:rFonts w:ascii="Times New Roman" w:hAnsi="Times New Roman" w:eastAsia="宋体" w:cs="Times New Roman"/>
      <w:kern w:val="2"/>
      <w:sz w:val="21"/>
      <w:lang w:val="en-US" w:eastAsia="zh-CN" w:bidi="ar-SA"/>
    </w:rPr>
  </w:style>
  <w:style w:type="paragraph" w:customStyle="1" w:styleId="37">
    <w:name w:val="修订3"/>
    <w:hidden/>
    <w:semiHidden/>
    <w:qFormat/>
    <w:uiPriority w:val="99"/>
    <w:rPr>
      <w:rFonts w:ascii="Times New Roman" w:hAnsi="Times New Roman" w:eastAsia="宋体" w:cs="Times New Roman"/>
      <w:kern w:val="2"/>
      <w:sz w:val="21"/>
      <w:lang w:val="en-US" w:eastAsia="zh-CN" w:bidi="ar-SA"/>
    </w:rPr>
  </w:style>
  <w:style w:type="paragraph" w:customStyle="1" w:styleId="38">
    <w:name w:val="修订4"/>
    <w:hidden/>
    <w:semiHidden/>
    <w:qFormat/>
    <w:uiPriority w:val="99"/>
    <w:rPr>
      <w:rFonts w:ascii="Times New Roman" w:hAnsi="Times New Roman" w:eastAsia="宋体" w:cs="Times New Roman"/>
      <w:kern w:val="2"/>
      <w:sz w:val="21"/>
      <w:lang w:val="en-US" w:eastAsia="zh-CN" w:bidi="ar-SA"/>
    </w:rPr>
  </w:style>
  <w:style w:type="character" w:customStyle="1" w:styleId="39">
    <w:name w:val="NormalCharacter"/>
    <w:qFormat/>
    <w:uiPriority w:val="0"/>
    <w:rPr>
      <w:rFonts w:ascii="Calibri" w:hAnsi="Calibri" w:eastAsia="仿宋_GB2312" w:cs="Times New Roman"/>
      <w:kern w:val="2"/>
      <w:sz w:val="32"/>
      <w:szCs w:val="24"/>
      <w:lang w:val="en-US" w:eastAsia="zh-CN" w:bidi="ar-SA"/>
    </w:rPr>
  </w:style>
  <w:style w:type="paragraph" w:customStyle="1" w:styleId="40">
    <w:name w:val="M表中字体"/>
    <w:qFormat/>
    <w:uiPriority w:val="0"/>
    <w:pPr>
      <w:adjustRightInd w:val="0"/>
      <w:snapToGrid w:val="0"/>
      <w:jc w:val="center"/>
    </w:pPr>
    <w:rPr>
      <w:rFonts w:ascii="Times New Roman" w:hAnsi="Times New Roman" w:eastAsia="宋体" w:cstheme="minorBidi"/>
      <w:kern w:val="2"/>
      <w:sz w:val="21"/>
      <w:szCs w:val="21"/>
      <w:lang w:val="en-US" w:eastAsia="zh-CN" w:bidi="ar-SA"/>
    </w:rPr>
  </w:style>
  <w:style w:type="character" w:customStyle="1" w:styleId="41">
    <w:name w:val="font01"/>
    <w:basedOn w:val="24"/>
    <w:qFormat/>
    <w:uiPriority w:val="0"/>
    <w:rPr>
      <w:rFonts w:hint="eastAsia" w:ascii="宋体" w:hAnsi="宋体" w:eastAsia="宋体" w:cs="宋体"/>
      <w:color w:val="000000"/>
      <w:sz w:val="22"/>
      <w:szCs w:val="22"/>
      <w:u w:val="none"/>
    </w:rPr>
  </w:style>
  <w:style w:type="character" w:customStyle="1" w:styleId="42">
    <w:name w:val="font31"/>
    <w:basedOn w:val="24"/>
    <w:qFormat/>
    <w:uiPriority w:val="0"/>
    <w:rPr>
      <w:rFonts w:hint="eastAsia" w:ascii="宋体" w:hAnsi="宋体" w:eastAsia="宋体" w:cs="宋体"/>
      <w:color w:val="000000"/>
      <w:sz w:val="22"/>
      <w:szCs w:val="22"/>
      <w:u w:val="none"/>
      <w:vertAlign w:val="superscript"/>
    </w:rPr>
  </w:style>
  <w:style w:type="character" w:customStyle="1" w:styleId="43">
    <w:name w:val="font71"/>
    <w:basedOn w:val="24"/>
    <w:qFormat/>
    <w:uiPriority w:val="0"/>
    <w:rPr>
      <w:rFonts w:hint="eastAsia" w:ascii="楷体" w:hAnsi="楷体" w:eastAsia="楷体" w:cs="楷体"/>
      <w:b/>
      <w:bCs/>
      <w:color w:val="000000"/>
      <w:sz w:val="24"/>
      <w:szCs w:val="24"/>
      <w:u w:val="none"/>
    </w:rPr>
  </w:style>
  <w:style w:type="character" w:customStyle="1" w:styleId="44">
    <w:name w:val="font81"/>
    <w:basedOn w:val="24"/>
    <w:qFormat/>
    <w:uiPriority w:val="0"/>
    <w:rPr>
      <w:rFonts w:hint="default" w:ascii="Times New Roman" w:hAnsi="Times New Roman" w:cs="Times New Roman"/>
      <w:b/>
      <w:bCs/>
      <w:color w:val="000000"/>
      <w:sz w:val="24"/>
      <w:szCs w:val="24"/>
      <w:u w:val="none"/>
    </w:rPr>
  </w:style>
  <w:style w:type="character" w:customStyle="1" w:styleId="45">
    <w:name w:val="font91"/>
    <w:basedOn w:val="24"/>
    <w:qFormat/>
    <w:uiPriority w:val="0"/>
    <w:rPr>
      <w:rFonts w:hint="default" w:ascii="Times New Roman" w:hAnsi="Times New Roman" w:cs="Times New Roman"/>
      <w:color w:val="000000"/>
      <w:sz w:val="24"/>
      <w:szCs w:val="24"/>
      <w:u w:val="none"/>
    </w:rPr>
  </w:style>
  <w:style w:type="character" w:customStyle="1" w:styleId="46">
    <w:name w:val="font101"/>
    <w:basedOn w:val="24"/>
    <w:qFormat/>
    <w:uiPriority w:val="0"/>
    <w:rPr>
      <w:rFonts w:hint="eastAsia" w:ascii="楷体" w:hAnsi="楷体" w:eastAsia="楷体" w:cs="楷体"/>
      <w:color w:val="000000"/>
      <w:sz w:val="24"/>
      <w:szCs w:val="24"/>
      <w:u w:val="none"/>
    </w:rPr>
  </w:style>
  <w:style w:type="character" w:customStyle="1" w:styleId="47">
    <w:name w:val="font61"/>
    <w:basedOn w:val="24"/>
    <w:qFormat/>
    <w:uiPriority w:val="0"/>
    <w:rPr>
      <w:rFonts w:hint="default" w:ascii="Times New Roman" w:hAnsi="Times New Roman" w:cs="Times New Roman"/>
      <w:color w:val="FF0000"/>
      <w:sz w:val="24"/>
      <w:szCs w:val="24"/>
      <w:u w:val="none"/>
    </w:rPr>
  </w:style>
  <w:style w:type="character" w:customStyle="1" w:styleId="48">
    <w:name w:val="font21"/>
    <w:basedOn w:val="24"/>
    <w:qFormat/>
    <w:uiPriority w:val="0"/>
    <w:rPr>
      <w:rFonts w:hint="eastAsia" w:ascii="宋体" w:hAnsi="宋体" w:eastAsia="宋体" w:cs="宋体"/>
      <w:color w:val="000000"/>
      <w:sz w:val="24"/>
      <w:szCs w:val="24"/>
      <w:u w:val="none"/>
      <w:vertAlign w:val="subscript"/>
    </w:rPr>
  </w:style>
  <w:style w:type="character" w:customStyle="1" w:styleId="49">
    <w:name w:val="font11"/>
    <w:basedOn w:val="24"/>
    <w:qFormat/>
    <w:uiPriority w:val="0"/>
    <w:rPr>
      <w:rFonts w:hint="eastAsia" w:ascii="楷体" w:hAnsi="楷体" w:eastAsia="楷体" w:cs="楷体"/>
      <w:b/>
      <w:bCs/>
      <w:color w:val="000000"/>
      <w:sz w:val="24"/>
      <w:szCs w:val="24"/>
      <w:u w:val="none"/>
    </w:rPr>
  </w:style>
  <w:style w:type="character" w:customStyle="1" w:styleId="50">
    <w:name w:val="font41"/>
    <w:basedOn w:val="2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6955</Words>
  <Characters>7194</Characters>
  <Lines>54</Lines>
  <Paragraphs>15</Paragraphs>
  <TotalTime>1</TotalTime>
  <ScaleCrop>false</ScaleCrop>
  <LinksUpToDate>false</LinksUpToDate>
  <CharactersWithSpaces>7194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2023-06-01T06:25:00Z</dcterms:created>
  <dc:creator>李 小宝</dc:creator>
  <cp:lastModifiedBy>Administrator</cp:lastModifiedBy>
  <cp:lastPrinted>2024-09-05T03:48:12Z</cp:lastPrinted>
  <dcterms:modified xsi:type="dcterms:W3CDTF">2024-09-05T03:57:20Z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187A78A6F45F4F169BC7E94C3CFA6D08</vt:lpwstr>
  </property>
</Properties>
</file>