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方正小标宋简体" w:hAnsi="方正小标宋简体" w:eastAsia="方正小标宋简体" w:cs="方正小标宋简体"/>
          <w:b w:val="0"/>
          <w:bCs w:val="0"/>
          <w:snapToGrid/>
          <w:color w:val="auto"/>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仿宋" w:hAnsi="仿宋" w:eastAsia="仿宋" w:cs="仿宋"/>
          <w:b w:val="0"/>
          <w:bCs w:val="0"/>
          <w:snapToGrid/>
          <w:color w:val="auto"/>
          <w:sz w:val="32"/>
          <w:szCs w:val="32"/>
          <w:shd w:val="clear" w:color="auto" w:fill="FFFFFF"/>
          <w:lang w:eastAsia="zh-CN"/>
        </w:rPr>
      </w:pPr>
      <w:r>
        <w:rPr>
          <w:rFonts w:hint="eastAsia" w:ascii="方正小标宋简体" w:hAnsi="方正小标宋简体" w:eastAsia="方正小标宋简体" w:cs="方正小标宋简体"/>
          <w:b w:val="0"/>
          <w:bCs w:val="0"/>
          <w:snapToGrid/>
          <w:color w:val="auto"/>
          <w:sz w:val="44"/>
          <w:szCs w:val="44"/>
          <w:shd w:val="clear" w:color="auto" w:fill="FFFFFF"/>
          <w:lang w:eastAsia="zh-CN"/>
        </w:rPr>
        <w:t>河源市住房公积金管理办法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 w:hAnsi="仿宋" w:eastAsia="仿宋" w:cs="仿宋"/>
          <w:b w:val="0"/>
          <w:bCs w:val="0"/>
          <w:snapToGrid/>
          <w:color w:val="auto"/>
          <w:sz w:val="32"/>
          <w:szCs w:val="32"/>
          <w:shd w:val="clear" w:color="auto" w:fill="FFFFFF"/>
          <w:lang w:eastAsia="zh-CN"/>
        </w:rPr>
      </w:pPr>
      <w:r>
        <w:rPr>
          <w:rFonts w:hint="eastAsia" w:ascii="仿宋" w:hAnsi="仿宋" w:eastAsia="仿宋" w:cs="仿宋"/>
          <w:b w:val="0"/>
          <w:bCs w:val="0"/>
          <w:snapToGrid/>
          <w:color w:val="auto"/>
          <w:sz w:val="32"/>
          <w:szCs w:val="32"/>
          <w:shd w:val="clear" w:color="auto" w:fill="FFFFFF"/>
          <w:lang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w:t>
      </w:r>
      <w:r>
        <w:rPr>
          <w:rFonts w:hint="eastAsia" w:ascii="黑体" w:hAnsi="黑体" w:eastAsia="黑体" w:cs="黑体"/>
          <w:b w:val="0"/>
          <w:bCs w:val="0"/>
          <w:snapToGrid/>
          <w:color w:val="auto"/>
          <w:sz w:val="36"/>
          <w:szCs w:val="36"/>
          <w:shd w:val="clear" w:color="auto" w:fill="FFFFFF"/>
          <w:lang w:eastAsia="zh-CN"/>
        </w:rPr>
        <w:t>总则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 xml:space="preserve"> </w:t>
      </w:r>
      <w:r>
        <w:rPr>
          <w:rFonts w:hint="eastAsia" w:ascii="仿宋_GB2312" w:hAnsi="仿宋_GB2312" w:eastAsia="仿宋_GB2312" w:cs="仿宋_GB2312"/>
          <w:sz w:val="32"/>
          <w:szCs w:val="32"/>
          <w:lang w:val="en-US" w:eastAsia="zh-CN"/>
        </w:rPr>
        <w:t>为加强我市住房公积金缴存和使用管理，维护住房公积金缴存职工合法权益，根据《住房公积金管理条例》《住房公积金归集业务标准》（GB/T51271-2017）《住房公积金提取业务标准》（GB/T51353-2019）《住房公积金个人住房贷款业务规范》（GB/T51267-2017）等法律、法规和政策规定，结合我市实际，制定本办法</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本办法适用于河源市行政区域内住房公积金的缴存、使用、管理和监督。</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河源市行政区域内国家机关、国有企业、城镇集体企业、外商投资企业、城镇私营企业及其他城镇企业、事业单位、民办非企业单位、基金会、社会团体（以下统称“单位”）应为其在职职工缴存住房公积金。</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本办法所称住房公积金是指单位及</w:t>
      </w:r>
      <w:r>
        <w:rPr>
          <w:rFonts w:hint="eastAsia" w:ascii="仿宋_GB2312" w:hAnsi="仿宋_GB2312" w:eastAsia="仿宋_GB2312" w:cs="仿宋_GB2312"/>
          <w:color w:val="auto"/>
          <w:sz w:val="32"/>
          <w:szCs w:val="32"/>
          <w:shd w:val="clear" w:color="auto" w:fill="FFFFFF"/>
          <w:lang w:val="en-US" w:eastAsia="zh-CN"/>
        </w:rPr>
        <w:t>其在职职工缴存的长期住房储金。住房公积金属于职工个人所有，应按照相关法律法规和本办法的规定使用，任何单位和个人不得挪作他用。</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全市住房公积金管理实行河源市住房公积金管理委员会（以下简称“管委会”）决策、河源市住房公积金管理中心（以下简称“公积金中心”）运作、银行专户存储、财政监督的原则。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住房公积金财务管理按照国家有关规定执行，资金管理实行“统一制度、统一决策、统一管理、统一核算”的原则。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 w:hAnsi="仿宋" w:eastAsia="仿宋" w:cs="仿宋"/>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机构及其职责</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管委会是全市住房公积金管理工作的决策机构，依照《住房公积金管理条例》履行职责。</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公积金中心是直属河源市人民政府的不以营利为目的的独立的参照《中华人民共和国公务员法》管理的事业单位，依照《住房公积金管理条例》履行职责。</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管委会依照中国人民银行的有关规定，确定受委托办理住房公积金金融业务的商业银行（以下简称“受委托银行”）。公积金中心应与受委托银行签订委托合同。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 w:hAnsi="仿宋" w:eastAsia="仿宋" w:cs="仿宋"/>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缴存</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 新设立单位应当自设立之日起30日内向公积金中心办理住房公积金缴存登记，并自登记之日起20日内，为本单位职工办理住房公积金账户设立或转移手续。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单位录用或调入职工的，应自录用或调入之日起30日内向公积金中心办理住房公积金缴存登记，并为职工办理住房公积金个人账户设立或转移手续。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单位与职工终止劳动关系的，单位应自劳动关系终止之日起30日内向公积金中心办理变更登记，并办理职工住房公积金个人账户转移或者封存手续。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一个职工在河源市行政区域内只能设立一个住房公积金个人账户。</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单位合并、分立、撤销、解散或者破产的，应自发生上述情形之日起30日内由原单位或者清算组织向公积金中心申请办理变更登记或者注销登记，并自办妥变更登记或者注销登记之日起20日内，为缴存职工办理住房公积金个人账户转移或者封存手续。逾期未办理注销登记手续或原单位注销、清算或破产管理工作终止的，公积金中心经查证核实后，可直接办理单位注销登记手续。</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单位应按时、足额缴存住房公积金，不得逾期缴存或者少缴；未按时缴存或少缴的，应补缴住房公积金。</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对缴存住房公积金确有困难的单位可申请降低比例（低于</w:t>
      </w:r>
      <w:r>
        <w:rPr>
          <w:rFonts w:hint="eastAsia" w:ascii="仿宋_GB2312" w:hAnsi="仿宋_GB2312" w:eastAsia="仿宋_GB2312" w:cs="仿宋_GB2312"/>
          <w:b w:val="0"/>
          <w:bCs w:val="0"/>
          <w:snapToGrid/>
          <w:color w:val="auto"/>
          <w:sz w:val="32"/>
          <w:szCs w:val="32"/>
          <w:shd w:val="clear" w:color="auto" w:fill="FFFFFF"/>
          <w:lang w:val="en-US" w:eastAsia="zh-CN"/>
        </w:rPr>
        <w:t>5%</w:t>
      </w:r>
      <w:r>
        <w:rPr>
          <w:rFonts w:hint="eastAsia" w:ascii="仿宋_GB2312" w:hAnsi="仿宋_GB2312" w:eastAsia="仿宋_GB2312" w:cs="仿宋_GB2312"/>
          <w:b w:val="0"/>
          <w:bCs w:val="0"/>
          <w:snapToGrid/>
          <w:color w:val="auto"/>
          <w:sz w:val="32"/>
          <w:szCs w:val="32"/>
          <w:shd w:val="clear" w:color="auto" w:fill="FFFFFF"/>
          <w:lang w:eastAsia="zh-CN"/>
        </w:rPr>
        <w:t>）缴存住房公积金。降低比例缴存须经本单位职工代表大会或者工会讨论通过，由公积金中心审核，报管委会批准；待单位经济效益好转后，再提高缴存比例。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对缴存住房公积金确有困难的单位可申请缓缴住房公积金。缓缴申请及补缴方案须经本单位职工代表大会或者工会讨论通过，报公积金中心审核批准；待单位经济效益好转后，再行补缴。</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职工个人缴存的住房公积金月缴存额为缴存职工住房公积金缴存基数乘以个人缴存比例。</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单位为职工缴存的住房公积金月缴存额为缴存职工住房公积金缴存基数乘以单位缴存比例。</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住房公积金缴存基数应为缴存职工上一年度（自然年度）月平均工资。计算住房公积金缴存基数的工资，应根据国家统计部门关于工资总额组成的规定核定。住房公积金缴存基数上限、下限按照公积金中心每年发布的标准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单位新录用职工从录用的第二个月开始缴存住房公积金，单位新调入职工从调入单位发放工资之日起缴存住房公积金，缴存基数均为本人缴存当月工资。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住房公积金缴存基数每年核定一次。</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住房公积金缴存比例不得高于12%且不得低于5%，在</w:t>
      </w:r>
      <w:r>
        <w:rPr>
          <w:rFonts w:hint="eastAsia" w:ascii="仿宋_GB2312" w:hAnsi="仿宋_GB2312" w:eastAsia="仿宋_GB2312" w:cs="仿宋_GB2312"/>
          <w:b w:val="0"/>
          <w:bCs w:val="0"/>
          <w:snapToGrid/>
          <w:color w:val="auto"/>
          <w:sz w:val="32"/>
          <w:szCs w:val="32"/>
          <w:shd w:val="clear" w:color="auto" w:fill="FFFFFF"/>
          <w:lang w:val="en-US" w:eastAsia="zh-CN"/>
        </w:rPr>
        <w:t>5%-12%范围内</w:t>
      </w:r>
      <w:r>
        <w:rPr>
          <w:rFonts w:hint="eastAsia" w:ascii="仿宋_GB2312" w:hAnsi="仿宋_GB2312" w:eastAsia="仿宋_GB2312" w:cs="仿宋_GB2312"/>
          <w:b w:val="0"/>
          <w:bCs w:val="0"/>
          <w:snapToGrid/>
          <w:color w:val="auto"/>
          <w:sz w:val="32"/>
          <w:szCs w:val="32"/>
          <w:shd w:val="clear" w:color="auto" w:fill="FFFFFF"/>
          <w:lang w:eastAsia="zh-CN"/>
        </w:rPr>
        <w:t>由单位自主确定。</w:t>
      </w:r>
      <w:r>
        <w:rPr>
          <w:rFonts w:hint="eastAsia" w:ascii="仿宋_GB2312" w:hAnsi="仿宋_GB2312" w:eastAsia="仿宋_GB2312" w:cs="仿宋_GB2312"/>
          <w:color w:val="auto"/>
          <w:sz w:val="32"/>
          <w:szCs w:val="32"/>
          <w:shd w:val="clear" w:color="auto" w:fill="FFFFFF"/>
        </w:rPr>
        <w:t>同一单位</w:t>
      </w:r>
      <w:r>
        <w:rPr>
          <w:rFonts w:hint="eastAsia" w:ascii="仿宋_GB2312" w:hAnsi="仿宋_GB2312" w:eastAsia="仿宋_GB2312" w:cs="仿宋_GB2312"/>
          <w:color w:val="auto"/>
          <w:sz w:val="32"/>
          <w:szCs w:val="32"/>
          <w:shd w:val="clear" w:color="auto" w:fill="FFFFFF"/>
          <w:lang w:eastAsia="zh-CN"/>
        </w:rPr>
        <w:t>职工</w:t>
      </w:r>
      <w:r>
        <w:rPr>
          <w:rFonts w:hint="eastAsia" w:ascii="仿宋_GB2312" w:hAnsi="仿宋_GB2312" w:eastAsia="仿宋_GB2312" w:cs="仿宋_GB2312"/>
          <w:color w:val="auto"/>
          <w:sz w:val="32"/>
          <w:szCs w:val="32"/>
          <w:shd w:val="clear" w:color="auto" w:fill="FFFFFF"/>
        </w:rPr>
        <w:t>的缴存比例应一致，单位</w:t>
      </w:r>
      <w:r>
        <w:rPr>
          <w:rFonts w:hint="eastAsia" w:ascii="仿宋_GB2312" w:hAnsi="仿宋_GB2312" w:eastAsia="仿宋_GB2312" w:cs="仿宋_GB2312"/>
          <w:color w:val="auto"/>
          <w:sz w:val="32"/>
          <w:szCs w:val="32"/>
          <w:shd w:val="clear" w:color="auto" w:fill="FFFFFF"/>
          <w:lang w:eastAsia="zh-CN"/>
        </w:rPr>
        <w:t>缴存比例</w:t>
      </w:r>
      <w:r>
        <w:rPr>
          <w:rFonts w:hint="eastAsia" w:ascii="仿宋_GB2312" w:hAnsi="仿宋_GB2312" w:eastAsia="仿宋_GB2312" w:cs="仿宋_GB2312"/>
          <w:color w:val="auto"/>
          <w:sz w:val="32"/>
          <w:szCs w:val="32"/>
          <w:shd w:val="clear" w:color="auto" w:fill="FFFFFF"/>
        </w:rPr>
        <w:t>和</w:t>
      </w:r>
      <w:r>
        <w:rPr>
          <w:rFonts w:hint="eastAsia" w:ascii="仿宋_GB2312" w:hAnsi="仿宋_GB2312" w:eastAsia="仿宋_GB2312" w:cs="仿宋_GB2312"/>
          <w:color w:val="auto"/>
          <w:sz w:val="32"/>
          <w:szCs w:val="32"/>
          <w:shd w:val="clear" w:color="auto" w:fill="FFFFFF"/>
          <w:lang w:eastAsia="zh-CN"/>
        </w:rPr>
        <w:t>个人</w:t>
      </w:r>
      <w:r>
        <w:rPr>
          <w:rFonts w:hint="eastAsia" w:ascii="仿宋_GB2312" w:hAnsi="仿宋_GB2312" w:eastAsia="仿宋_GB2312" w:cs="仿宋_GB2312"/>
          <w:color w:val="auto"/>
          <w:sz w:val="32"/>
          <w:szCs w:val="32"/>
          <w:shd w:val="clear" w:color="auto" w:fill="FFFFFF"/>
        </w:rPr>
        <w:t>缴存比例</w:t>
      </w:r>
      <w:r>
        <w:rPr>
          <w:rFonts w:hint="eastAsia" w:ascii="仿宋_GB2312" w:hAnsi="仿宋_GB2312" w:eastAsia="仿宋_GB2312" w:cs="仿宋_GB2312"/>
          <w:color w:val="auto"/>
          <w:sz w:val="32"/>
          <w:szCs w:val="32"/>
          <w:shd w:val="clear" w:color="auto" w:fill="FFFFFF"/>
          <w:lang w:eastAsia="zh-CN"/>
        </w:rPr>
        <w:t>宜一致。</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住房公积金自存入住房公积金个人账户之日起按国家规定利率计息。</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trike w:val="0"/>
          <w:dstrike w:val="0"/>
          <w:snapToGrid/>
          <w:color w:val="auto"/>
          <w:sz w:val="32"/>
          <w:szCs w:val="32"/>
          <w:u w:val="none"/>
          <w:shd w:val="clear" w:color="auto" w:fill="FFFFFF"/>
          <w:lang w:eastAsia="zh-CN"/>
        </w:rPr>
        <w:t>职工、单位有权查询本人、本单位住房公积金的缴存和账户余额等相关信息。</w:t>
      </w:r>
      <w:r>
        <w:rPr>
          <w:rFonts w:hint="eastAsia" w:ascii="仿宋_GB2312" w:hAnsi="仿宋_GB2312" w:eastAsia="仿宋_GB2312" w:cs="仿宋_GB2312"/>
          <w:b w:val="0"/>
          <w:bCs w:val="0"/>
          <w:snapToGrid/>
          <w:color w:val="auto"/>
          <w:sz w:val="32"/>
          <w:szCs w:val="32"/>
          <w:shd w:val="clear" w:color="auto" w:fill="FFFFFF"/>
          <w:lang w:eastAsia="zh-CN"/>
        </w:rPr>
        <w:t>对查询结果有异议的，可向公积金中心申请复核，公积金中心在受理后5个工作日内给予书面答复。</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住房公积金汇缴、补缴业务发生记账错误的，应及时调整。</w:t>
      </w: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使用</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本办法中住房公积金使用，包括住房公积金提取、贷款、增值收益分配和流动性风险防控管理等内容。</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缴存职工有下列情形之一的，可申请办理提取职工住房公积金账户内的存储余额：</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购买、建造、翻建、大修自住住房；</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偿还购房贷款本息；</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连续足额缴存住房公积金满</w:t>
      </w:r>
      <w:r>
        <w:rPr>
          <w:rFonts w:hint="eastAsia" w:ascii="仿宋_GB2312" w:hAnsi="仿宋_GB2312" w:eastAsia="仿宋_GB2312" w:cs="仿宋_GB2312"/>
          <w:b w:val="0"/>
          <w:bCs w:val="0"/>
          <w:snapToGrid/>
          <w:color w:val="auto"/>
          <w:sz w:val="32"/>
          <w:szCs w:val="32"/>
          <w:shd w:val="clear" w:color="auto" w:fill="FFFFFF"/>
          <w:lang w:val="en-US" w:eastAsia="zh-CN"/>
        </w:rPr>
        <w:t>3个月、本人及配偶在我市行政区域内无房且租赁住房</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既有住宅增设电梯；</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离休、退休；</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u w:val="none"/>
          <w:shd w:val="clear" w:color="auto" w:fill="FFFFFF"/>
          <w:lang w:eastAsia="zh-CN"/>
        </w:rPr>
      </w:pPr>
      <w:r>
        <w:rPr>
          <w:rFonts w:hint="eastAsia" w:ascii="仿宋_GB2312" w:hAnsi="仿宋_GB2312" w:eastAsia="仿宋_GB2312" w:cs="仿宋_GB2312"/>
          <w:b w:val="0"/>
          <w:bCs w:val="0"/>
          <w:snapToGrid/>
          <w:color w:val="auto"/>
          <w:sz w:val="32"/>
          <w:szCs w:val="32"/>
          <w:u w:val="none"/>
          <w:shd w:val="clear" w:color="auto" w:fill="FFFFFF"/>
          <w:lang w:eastAsia="zh-CN"/>
        </w:rPr>
        <w:t>完全丧失劳动能力并与单位终止劳动关系；</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u w:val="none"/>
          <w:shd w:val="clear" w:color="auto" w:fill="FFFFFF"/>
          <w:lang w:eastAsia="zh-CN"/>
        </w:rPr>
      </w:pPr>
      <w:r>
        <w:rPr>
          <w:rFonts w:hint="eastAsia" w:ascii="仿宋_GB2312" w:hAnsi="仿宋_GB2312" w:eastAsia="仿宋_GB2312" w:cs="仿宋_GB2312"/>
          <w:b w:val="0"/>
          <w:bCs w:val="0"/>
          <w:snapToGrid/>
          <w:color w:val="auto"/>
          <w:sz w:val="32"/>
          <w:szCs w:val="32"/>
          <w:u w:val="none"/>
          <w:shd w:val="clear" w:color="auto" w:fill="FFFFFF"/>
          <w:lang w:eastAsia="zh-CN"/>
        </w:rPr>
        <w:t>与单位终止劳动关系、住房公积金个人账户封存满6个月且未在异地继续缴存；</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u w:val="none"/>
          <w:shd w:val="clear" w:color="auto" w:fill="FFFFFF"/>
          <w:lang w:eastAsia="zh-CN"/>
        </w:rPr>
      </w:pPr>
      <w:r>
        <w:rPr>
          <w:rFonts w:hint="eastAsia" w:ascii="仿宋_GB2312" w:hAnsi="仿宋_GB2312" w:eastAsia="仿宋_GB2312" w:cs="仿宋_GB2312"/>
          <w:b w:val="0"/>
          <w:bCs w:val="0"/>
          <w:snapToGrid/>
          <w:color w:val="auto"/>
          <w:sz w:val="32"/>
          <w:szCs w:val="32"/>
          <w:u w:val="none"/>
          <w:shd w:val="clear" w:color="auto" w:fill="FFFFFF"/>
          <w:lang w:eastAsia="zh-CN"/>
        </w:rPr>
        <w:t>出境定居；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u w:val="none"/>
          <w:shd w:val="clear" w:color="auto" w:fill="FFFFFF"/>
          <w:lang w:eastAsia="zh-CN"/>
        </w:rPr>
        <w:t>符合本条第（五）（六）（七）（八）项</w:t>
      </w:r>
      <w:r>
        <w:rPr>
          <w:rFonts w:hint="eastAsia" w:ascii="仿宋_GB2312" w:hAnsi="仿宋_GB2312" w:eastAsia="仿宋_GB2312" w:cs="仿宋_GB2312"/>
          <w:b w:val="0"/>
          <w:bCs w:val="0"/>
          <w:snapToGrid/>
          <w:color w:val="auto"/>
          <w:sz w:val="32"/>
          <w:szCs w:val="32"/>
          <w:shd w:val="clear" w:color="auto" w:fill="FFFFFF"/>
          <w:lang w:eastAsia="zh-CN"/>
        </w:rPr>
        <w:t>规定，提取住房公积金的，应同时注销住房公积金个人账户。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缴存职工死亡或者被宣告死亡的，缴存职工的继承人、受遗赠人可以提取缴存职工住房公积金账户内的全部存储余额并注销住房公积金个人账户；无继承人也无受遗赠人的，缴存职工住房公积金个人账户内的存储余额纳入住房公积金的增值收益。</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缴存职工在办理住房公积金提取时应提供合法有效的申请材料，并对所提交申请材料的真实性负责，不得隐瞒真实情况或提供虚假材料。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公积金中心收到住房公积金提取申请材料后，</w:t>
      </w:r>
      <w:r>
        <w:rPr>
          <w:rFonts w:hint="eastAsia" w:ascii="仿宋_GB2312" w:hAnsi="仿宋_GB2312" w:eastAsia="仿宋_GB2312" w:cs="仿宋_GB2312"/>
          <w:b w:val="0"/>
          <w:bCs w:val="0"/>
          <w:sz w:val="32"/>
          <w:szCs w:val="32"/>
          <w:lang w:val="en-US" w:eastAsia="zh-CN"/>
        </w:rPr>
        <w:t>对受理后可现场审核的，应进行当场办结；对不能现场审核的，应自受理申请之日起3个工作日内作出准予提取或不准提取的决定，并应书面通知提取申请人。</w:t>
      </w:r>
      <w:r>
        <w:rPr>
          <w:rFonts w:hint="eastAsia" w:ascii="仿宋_GB2312" w:hAnsi="仿宋_GB2312" w:eastAsia="仿宋_GB2312" w:cs="仿宋_GB2312"/>
          <w:b w:val="0"/>
          <w:bCs w:val="0"/>
          <w:snapToGrid/>
          <w:color w:val="auto"/>
          <w:sz w:val="32"/>
          <w:szCs w:val="32"/>
          <w:u w:val="none"/>
          <w:shd w:val="clear" w:color="auto" w:fill="FFFFFF"/>
          <w:lang w:eastAsia="zh-CN"/>
        </w:rPr>
        <w:t>如需调查核实的，可延长审核时限，调查核实时间不计入办理时限。延长审核时限应书面告知申请人。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eastAsia="zh-CN"/>
        </w:rPr>
        <w:t>申请人对审核决定提出异议时，可提出复核申请，公积金中心应在</w:t>
      </w:r>
      <w:r>
        <w:rPr>
          <w:rFonts w:hint="eastAsia" w:ascii="仿宋_GB2312" w:hAnsi="仿宋_GB2312" w:eastAsia="仿宋_GB2312" w:cs="仿宋_GB2312"/>
          <w:b w:val="0"/>
          <w:bCs w:val="0"/>
          <w:snapToGrid/>
          <w:color w:val="auto"/>
          <w:sz w:val="32"/>
          <w:szCs w:val="32"/>
          <w:shd w:val="clear" w:color="auto" w:fill="FFFFFF"/>
          <w:lang w:val="en-US" w:eastAsia="zh-CN"/>
        </w:rPr>
        <w:t>5个工作日内作出复核终审意见。</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正常缴存住房公积金的职工，有购买、建造、翻建、大修自住住房情形之一的，可向公积金中心申请住房公积金个人住房贷款（以下简称“公积金贷款”）。</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公积金贷款属于政策性贷款，具体贷款额度按照借款申请人的申请额度和限额标准，结合住房公积金缴存情况、实际偿还贷款能力、信用情况、担保情况等因素综合确定。</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公积金贷款期限原则上为整年，最长年限</w:t>
      </w:r>
      <w:r>
        <w:rPr>
          <w:rFonts w:hint="eastAsia" w:ascii="仿宋_GB2312" w:hAnsi="仿宋_GB2312" w:eastAsia="仿宋_GB2312" w:cs="仿宋_GB2312"/>
          <w:b w:val="0"/>
          <w:bCs w:val="0"/>
          <w:snapToGrid/>
          <w:color w:val="auto"/>
          <w:sz w:val="32"/>
          <w:szCs w:val="32"/>
          <w:highlight w:val="none"/>
          <w:shd w:val="clear" w:color="auto" w:fill="FFFFFF"/>
          <w:lang w:eastAsia="zh-CN"/>
        </w:rPr>
        <w:t>30年</w:t>
      </w:r>
      <w:r>
        <w:rPr>
          <w:rFonts w:hint="eastAsia" w:ascii="仿宋_GB2312" w:hAnsi="仿宋_GB2312" w:eastAsia="仿宋_GB2312" w:cs="仿宋_GB2312"/>
          <w:b w:val="0"/>
          <w:bCs w:val="0"/>
          <w:snapToGrid/>
          <w:color w:val="auto"/>
          <w:sz w:val="32"/>
          <w:szCs w:val="32"/>
          <w:shd w:val="clear" w:color="auto" w:fill="FFFFFF"/>
          <w:lang w:eastAsia="zh-CN"/>
        </w:rPr>
        <w:t>，且贷款到期日不超过借款申请人（含共同申请人）法定退休时间后</w:t>
      </w:r>
      <w:r>
        <w:rPr>
          <w:rFonts w:hint="eastAsia" w:ascii="仿宋_GB2312" w:hAnsi="仿宋_GB2312" w:eastAsia="仿宋_GB2312" w:cs="仿宋_GB2312"/>
          <w:b w:val="0"/>
          <w:bCs w:val="0"/>
          <w:snapToGrid/>
          <w:color w:val="auto"/>
          <w:sz w:val="32"/>
          <w:szCs w:val="32"/>
          <w:shd w:val="clear" w:color="auto" w:fill="FFFFFF"/>
          <w:lang w:val="en-US" w:eastAsia="zh-CN"/>
        </w:rPr>
        <w:t>5年</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公积金贷款利率按照中国人民银行公布的</w:t>
      </w:r>
      <w:r>
        <w:rPr>
          <w:rFonts w:hint="eastAsia" w:ascii="仿宋_GB2312" w:hAnsi="仿宋_GB2312" w:eastAsia="仿宋_GB2312" w:cs="仿宋_GB2312"/>
          <w:b w:val="0"/>
          <w:bCs w:val="0"/>
          <w:sz w:val="32"/>
          <w:szCs w:val="32"/>
          <w:lang w:val="en-US" w:eastAsia="zh-CN"/>
        </w:rPr>
        <w:t>各年限公积金贷款</w:t>
      </w:r>
      <w:r>
        <w:rPr>
          <w:rFonts w:hint="eastAsia" w:ascii="仿宋_GB2312" w:hAnsi="仿宋_GB2312" w:eastAsia="仿宋_GB2312" w:cs="仿宋_GB2312"/>
          <w:b w:val="0"/>
          <w:bCs w:val="0"/>
          <w:snapToGrid/>
          <w:color w:val="auto"/>
          <w:sz w:val="32"/>
          <w:szCs w:val="32"/>
          <w:shd w:val="clear" w:color="auto" w:fill="FFFFFF"/>
          <w:lang w:eastAsia="zh-CN"/>
        </w:rPr>
        <w:t>利率执行。</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借款申请人在公积金贷款不能满足其购房需要时，可申请组合办理公积金贷款和商业银行住房贷款（以下简称“组合贷款”），分别执行相应的住房贷款利率。</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公积金中心应自受理贷款申请之日起10个工作日内作出是否准予贷款的决定并通知借款申请人。准予贷款的，应通知借款申请人办理后续贷款手续；不予贷款的，应退回申请材料并说明理由。</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公积金中心应在具备公积金贷款发放条件的5个工作日内完成贷款发放</w:t>
      </w:r>
      <w:r>
        <w:rPr>
          <w:rFonts w:hint="eastAsia" w:ascii="仿宋_GB2312" w:hAnsi="仿宋_GB2312" w:eastAsia="仿宋_GB2312" w:cs="仿宋_GB2312"/>
          <w:b w:val="0"/>
          <w:bCs w:val="0"/>
          <w:snapToGrid/>
          <w:color w:val="auto"/>
          <w:sz w:val="32"/>
          <w:szCs w:val="32"/>
          <w:shd w:val="clear" w:color="auto" w:fill="FFFFFF"/>
          <w:lang w:val="en-US" w:eastAsia="zh-CN"/>
        </w:rPr>
        <w:t>。</w:t>
      </w:r>
      <w:r>
        <w:rPr>
          <w:rFonts w:hint="eastAsia" w:ascii="仿宋_GB2312" w:hAnsi="仿宋_GB2312" w:eastAsia="仿宋_GB2312" w:cs="仿宋_GB2312"/>
          <w:b w:val="0"/>
          <w:bCs w:val="0"/>
          <w:snapToGrid/>
          <w:color w:val="auto"/>
          <w:sz w:val="32"/>
          <w:szCs w:val="32"/>
          <w:shd w:val="clear" w:color="auto" w:fill="FFFFFF"/>
          <w:lang w:eastAsia="zh-CN"/>
        </w:rPr>
        <w:t>住房公积金资金紧张时，可轮候发放。</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期间，借款人发生公积金中心规定的情形，需对原借款合同约定的内容进行变更的，可向公积金中心申请办理贷款变更业务，主要包括提前还款、还款账户变更、借款人（抵押人）变更、贷款期限变更、担保变更等。</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贷款结清后，公积金中心应向借款人出具贷款结清证明，并将解除抵押权利的相关证明资料交还抵押人。</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住房公积金的增值收益应当存入公积金中心在受委托银行开立的住房公积金增值收益专户，用于建立公积金贷款风险准备金、公积金中心的管理费用和建设城市廉租住房的补充资金。</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公积金中心的管理费用，由公积金中心按照规定的标准编制全年预算支出总额，报市级财政部门批准后，从住房公积金增值收益中上交市级财政，由市级财政拨付。</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公积金中心应根据住房公积金个贷率，综合分析资金运行及贷款供需发展趋势等情况，采取相应措施，使住房公积金运行在合理区间。</w:t>
      </w: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监督</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管委会对决策事项的实施情况进行监督。</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市级财政部门应当加强对全市住房公积金缴存、使用情况的监督，并向管委会通报。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公积金中心在编制住房公积金归集、使用计划时，应当征求财政部门的意见。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管委会在审批住房公积金归集、使用计划和计划执行情况的报告时，必须有市级财政部门参加。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公积金中心应当每年定期向市级财政部门和管委会报送财务报告，并将财务报告向社会公布。</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公积金中心应依法接受审计部门的审计监督。</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公积金中心应督促受委托银行严格按照委托合同约定及时办理业务，并定期进行考核评估。受委托银行应按照委托合同约定，定期向公积金中心提供有关的业务材料和履约情况报告（每季度一次）。</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公积金中心有权对单位缴存住房公积金情况进行检查，督促其依法缴存住房公积金。</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单位应配合公积金中心监督检查、投诉处理等，如实提供用人情况以及工资、财务报表等与缴存住房公积金有关的材料信息。</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公积金中心应依法公开政策规定、办事流程和办理时限等住房公积金管理信息，并每年公布住房公积金年度报告，接受社会监督。</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职工有权督促所在单位按时履行下列义务：</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住房公积金的缴存登记或者变更、注销登记；</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住房公积金账户的设立、转移或者封存；</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足额缴存住房公积金；</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法律、法规规定的其他情形。</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公积金中心、受委托银行或其他相关部门及其工作人员处理单位和缴存职工信息，应遵循合法、正当、必要的原则。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u w:val="none"/>
          <w:shd w:val="clear" w:color="auto" w:fill="FFFFFF"/>
          <w:lang w:eastAsia="zh-CN"/>
        </w:rPr>
      </w:pPr>
      <w:r>
        <w:rPr>
          <w:rFonts w:hint="eastAsia" w:ascii="仿宋_GB2312" w:hAnsi="仿宋_GB2312" w:eastAsia="仿宋_GB2312" w:cs="仿宋_GB2312"/>
          <w:b w:val="0"/>
          <w:bCs w:val="0"/>
          <w:snapToGrid/>
          <w:color w:val="auto"/>
          <w:sz w:val="32"/>
          <w:szCs w:val="32"/>
          <w:u w:val="none"/>
          <w:shd w:val="clear" w:color="auto" w:fill="FFFFFF"/>
          <w:lang w:eastAsia="zh-CN"/>
        </w:rPr>
        <w:t>住房公积金缴存职工违反住房公积金管理法规政策的，公积金中心可以进行调查并按有关规定处理。</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u w:val="none"/>
          <w:shd w:val="clear" w:color="auto" w:fill="FFFFFF"/>
          <w:lang w:eastAsia="zh-CN"/>
        </w:rPr>
      </w:pPr>
      <w:r>
        <w:rPr>
          <w:rFonts w:hint="eastAsia" w:ascii="仿宋_GB2312" w:hAnsi="仿宋_GB2312" w:eastAsia="仿宋_GB2312" w:cs="仿宋_GB2312"/>
          <w:b w:val="0"/>
          <w:bCs w:val="0"/>
          <w:snapToGrid/>
          <w:color w:val="auto"/>
          <w:sz w:val="32"/>
          <w:szCs w:val="32"/>
          <w:u w:val="none"/>
          <w:shd w:val="clear" w:color="auto" w:fill="FFFFFF"/>
          <w:lang w:eastAsia="zh-CN"/>
        </w:rPr>
        <w:t>单位、公积金中心及其工作人员违反《住房公积金管理条例》规定的，依照《住房公积金管理条例》有关规定处理。</w:t>
      </w:r>
    </w:p>
    <w:p>
      <w:pPr>
        <w:keepNext w:val="0"/>
        <w:keepLines w:val="0"/>
        <w:pageBreakBefore w:val="0"/>
        <w:widowControl w:val="0"/>
        <w:kinsoku/>
        <w:wordWrap/>
        <w:overflowPunct/>
        <w:topLinePunct w:val="0"/>
        <w:autoSpaceDE/>
        <w:autoSpaceDN/>
        <w:bidi w:val="0"/>
        <w:adjustRightInd/>
        <w:spacing w:line="600" w:lineRule="exact"/>
        <w:textAlignment w:val="auto"/>
        <w:rPr>
          <w:strike/>
          <w:dstrike w:val="0"/>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附则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u w:val="none"/>
          <w:shd w:val="clear" w:color="auto" w:fill="FFFFFF"/>
          <w:lang w:eastAsia="zh-CN"/>
        </w:rPr>
      </w:pPr>
      <w:r>
        <w:rPr>
          <w:rFonts w:hint="eastAsia" w:ascii="仿宋_GB2312" w:hAnsi="仿宋_GB2312" w:eastAsia="仿宋_GB2312" w:cs="仿宋_GB2312"/>
          <w:b w:val="0"/>
          <w:bCs w:val="0"/>
          <w:snapToGrid/>
          <w:color w:val="auto"/>
          <w:sz w:val="32"/>
          <w:szCs w:val="32"/>
          <w:u w:val="none"/>
          <w:shd w:val="clear" w:color="auto" w:fill="FFFFFF"/>
          <w:lang w:eastAsia="zh-CN"/>
        </w:rPr>
        <w:t>个体工商户或其他组织缴存住房公积金可以参照适用本办法。</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u w:val="none"/>
          <w:shd w:val="clear" w:color="auto" w:fill="FFFFFF"/>
          <w:lang w:eastAsia="zh-CN"/>
        </w:rPr>
      </w:pPr>
      <w:r>
        <w:rPr>
          <w:rFonts w:hint="eastAsia" w:ascii="仿宋_GB2312" w:hAnsi="仿宋_GB2312" w:eastAsia="仿宋_GB2312" w:cs="仿宋_GB2312"/>
          <w:b w:val="0"/>
          <w:bCs w:val="0"/>
          <w:snapToGrid/>
          <w:color w:val="auto"/>
          <w:sz w:val="32"/>
          <w:szCs w:val="32"/>
          <w:u w:val="none"/>
          <w:shd w:val="clear" w:color="auto" w:fill="FFFFFF"/>
          <w:lang w:eastAsia="zh-CN"/>
        </w:rPr>
        <w:t>本办法由公积金中心负责解释。</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lang w:eastAsia="zh-CN"/>
        </w:rPr>
        <w:sectPr>
          <w:footerReference r:id="rId3" w:type="default"/>
          <w:pgSz w:w="11906" w:h="16838"/>
          <w:pgMar w:top="2041" w:right="1531" w:bottom="2041" w:left="1531" w:header="851" w:footer="992" w:gutter="0"/>
          <w:pgNumType w:fmt="decimal"/>
          <w:cols w:space="425" w:num="1"/>
          <w:docGrid w:type="lines" w:linePitch="312" w:charSpace="0"/>
        </w:sectPr>
      </w:pPr>
      <w:r>
        <w:rPr>
          <w:rFonts w:hint="eastAsia" w:ascii="仿宋_GB2312" w:hAnsi="仿宋_GB2312" w:eastAsia="仿宋_GB2312" w:cs="仿宋_GB2312"/>
          <w:b w:val="0"/>
          <w:bCs w:val="0"/>
          <w:snapToGrid/>
          <w:color w:val="auto"/>
          <w:sz w:val="32"/>
          <w:szCs w:val="32"/>
          <w:shd w:val="clear" w:color="auto" w:fill="FFFFFF"/>
          <w:lang w:eastAsia="zh-CN"/>
        </w:rPr>
        <w:t>本办法自202</w:t>
      </w:r>
      <w:r>
        <w:rPr>
          <w:rFonts w:hint="eastAsia" w:ascii="仿宋_GB2312" w:hAnsi="仿宋_GB2312" w:eastAsia="仿宋_GB2312" w:cs="仿宋_GB2312"/>
          <w:b w:val="0"/>
          <w:bCs w:val="0"/>
          <w:snapToGrid/>
          <w:color w:val="auto"/>
          <w:sz w:val="32"/>
          <w:szCs w:val="32"/>
          <w:shd w:val="clear" w:color="auto" w:fill="FFFFFF"/>
          <w:lang w:val="en-US" w:eastAsia="zh-CN"/>
        </w:rPr>
        <w:t>4</w:t>
      </w:r>
      <w:r>
        <w:rPr>
          <w:rFonts w:hint="eastAsia" w:ascii="仿宋_GB2312" w:hAnsi="仿宋_GB2312" w:eastAsia="仿宋_GB2312" w:cs="仿宋_GB2312"/>
          <w:b w:val="0"/>
          <w:bCs w:val="0"/>
          <w:snapToGrid/>
          <w:color w:val="auto"/>
          <w:sz w:val="32"/>
          <w:szCs w:val="32"/>
          <w:shd w:val="clear" w:color="auto" w:fill="FFFFFF"/>
          <w:lang w:eastAsia="zh-CN"/>
        </w:rPr>
        <w:t>年</w:t>
      </w:r>
      <w:r>
        <w:rPr>
          <w:rFonts w:hint="eastAsia" w:ascii="仿宋_GB2312" w:hAnsi="仿宋_GB2312" w:eastAsia="仿宋_GB2312" w:cs="仿宋_GB2312"/>
          <w:b w:val="0"/>
          <w:bCs w:val="0"/>
          <w:snapToGrid/>
          <w:color w:val="auto"/>
          <w:sz w:val="32"/>
          <w:szCs w:val="32"/>
          <w:shd w:val="clear" w:color="auto" w:fill="FFFFFF"/>
          <w:lang w:val="en-US" w:eastAsia="zh-CN"/>
        </w:rPr>
        <w:t>8</w:t>
      </w:r>
      <w:r>
        <w:rPr>
          <w:rFonts w:hint="eastAsia" w:ascii="仿宋_GB2312" w:hAnsi="仿宋_GB2312" w:eastAsia="仿宋_GB2312" w:cs="仿宋_GB2312"/>
          <w:b w:val="0"/>
          <w:bCs w:val="0"/>
          <w:snapToGrid/>
          <w:color w:val="auto"/>
          <w:sz w:val="32"/>
          <w:szCs w:val="32"/>
          <w:shd w:val="clear" w:color="auto" w:fill="FFFFFF"/>
          <w:lang w:eastAsia="zh-CN"/>
        </w:rPr>
        <w:t>月</w:t>
      </w:r>
      <w:r>
        <w:rPr>
          <w:rFonts w:hint="eastAsia" w:ascii="仿宋_GB2312" w:hAnsi="仿宋_GB2312" w:eastAsia="仿宋_GB2312" w:cs="仿宋_GB2312"/>
          <w:b w:val="0"/>
          <w:bCs w:val="0"/>
          <w:snapToGrid/>
          <w:color w:val="auto"/>
          <w:sz w:val="32"/>
          <w:szCs w:val="32"/>
          <w:shd w:val="clear" w:color="auto" w:fill="FFFFFF"/>
          <w:lang w:val="en-US" w:eastAsia="zh-CN"/>
        </w:rPr>
        <w:t>1</w:t>
      </w:r>
      <w:r>
        <w:rPr>
          <w:rFonts w:hint="eastAsia" w:ascii="仿宋_GB2312" w:hAnsi="仿宋_GB2312" w:eastAsia="仿宋_GB2312" w:cs="仿宋_GB2312"/>
          <w:b w:val="0"/>
          <w:bCs w:val="0"/>
          <w:snapToGrid/>
          <w:color w:val="auto"/>
          <w:sz w:val="32"/>
          <w:szCs w:val="32"/>
          <w:shd w:val="clear" w:color="auto" w:fill="FFFFFF"/>
          <w:lang w:eastAsia="zh-CN"/>
        </w:rPr>
        <w:t>日起施行，有效期为五年，如遇国家、省、市政策调整，按新政策执行。原有政策与本办法不符的，按本办法规定执行。《河源市住房公积金提取管理暂行办法》（河公委〔2014〕5号）、《河源市住房公积金个人住房贷款管理暂行办法》（河公委〔</w:t>
      </w:r>
      <w:r>
        <w:rPr>
          <w:rFonts w:hint="eastAsia" w:ascii="仿宋_GB2312" w:hAnsi="仿宋_GB2312" w:eastAsia="仿宋_GB2312" w:cs="仿宋_GB2312"/>
          <w:b w:val="0"/>
          <w:bCs w:val="0"/>
          <w:snapToGrid/>
          <w:color w:val="auto"/>
          <w:sz w:val="32"/>
          <w:szCs w:val="32"/>
          <w:shd w:val="clear" w:color="auto" w:fill="FFFFFF"/>
          <w:lang w:val="en-US" w:eastAsia="zh-CN"/>
        </w:rPr>
        <w:t>2014</w:t>
      </w:r>
      <w:r>
        <w:rPr>
          <w:rFonts w:hint="eastAsia" w:ascii="仿宋_GB2312" w:hAnsi="仿宋_GB2312" w:eastAsia="仿宋_GB2312" w:cs="仿宋_GB2312"/>
          <w:b w:val="0"/>
          <w:bCs w:val="0"/>
          <w:snapToGrid/>
          <w:color w:val="auto"/>
          <w:sz w:val="32"/>
          <w:szCs w:val="32"/>
          <w:shd w:val="clear" w:color="auto" w:fill="FFFFFF"/>
          <w:lang w:eastAsia="zh-CN"/>
        </w:rPr>
        <w:t>〕</w:t>
      </w:r>
      <w:r>
        <w:rPr>
          <w:rFonts w:hint="eastAsia" w:ascii="仿宋_GB2312" w:hAnsi="仿宋_GB2312" w:eastAsia="仿宋_GB2312" w:cs="仿宋_GB2312"/>
          <w:b w:val="0"/>
          <w:bCs w:val="0"/>
          <w:snapToGrid/>
          <w:color w:val="auto"/>
          <w:sz w:val="32"/>
          <w:szCs w:val="32"/>
          <w:shd w:val="clear" w:color="auto" w:fill="FFFFFF"/>
          <w:lang w:val="en-US" w:eastAsia="zh-CN"/>
        </w:rPr>
        <w:t>6号</w:t>
      </w:r>
      <w:r>
        <w:rPr>
          <w:rFonts w:hint="eastAsia" w:ascii="仿宋_GB2312" w:hAnsi="仿宋_GB2312" w:eastAsia="仿宋_GB2312" w:cs="仿宋_GB2312"/>
          <w:b w:val="0"/>
          <w:bCs w:val="0"/>
          <w:snapToGrid/>
          <w:color w:val="auto"/>
          <w:sz w:val="32"/>
          <w:szCs w:val="32"/>
          <w:shd w:val="clear" w:color="auto" w:fill="FFFFFF"/>
          <w:lang w:eastAsia="zh-CN"/>
        </w:rPr>
        <w:t>）、《河源市关于既有住宅增设电梯提取住房公积金实施办法》（河公积〔</w:t>
      </w:r>
      <w:r>
        <w:rPr>
          <w:rFonts w:hint="eastAsia" w:ascii="仿宋_GB2312" w:hAnsi="仿宋_GB2312" w:eastAsia="仿宋_GB2312" w:cs="仿宋_GB2312"/>
          <w:b w:val="0"/>
          <w:bCs w:val="0"/>
          <w:snapToGrid/>
          <w:color w:val="auto"/>
          <w:sz w:val="32"/>
          <w:szCs w:val="32"/>
          <w:shd w:val="clear" w:color="auto" w:fill="FFFFFF"/>
          <w:lang w:val="en-US" w:eastAsia="zh-CN"/>
        </w:rPr>
        <w:t>2021</w:t>
      </w:r>
      <w:r>
        <w:rPr>
          <w:rFonts w:hint="eastAsia" w:ascii="仿宋_GB2312" w:hAnsi="仿宋_GB2312" w:eastAsia="仿宋_GB2312" w:cs="仿宋_GB2312"/>
          <w:b w:val="0"/>
          <w:bCs w:val="0"/>
          <w:snapToGrid/>
          <w:color w:val="auto"/>
          <w:sz w:val="32"/>
          <w:szCs w:val="32"/>
          <w:shd w:val="clear" w:color="auto" w:fill="FFFFFF"/>
          <w:lang w:eastAsia="zh-CN"/>
        </w:rPr>
        <w:t>〕</w:t>
      </w:r>
      <w:r>
        <w:rPr>
          <w:rFonts w:hint="eastAsia" w:ascii="仿宋_GB2312" w:hAnsi="仿宋_GB2312" w:eastAsia="仿宋_GB2312" w:cs="仿宋_GB2312"/>
          <w:b w:val="0"/>
          <w:bCs w:val="0"/>
          <w:snapToGrid/>
          <w:color w:val="auto"/>
          <w:sz w:val="32"/>
          <w:szCs w:val="32"/>
          <w:shd w:val="clear" w:color="auto" w:fill="FFFFFF"/>
          <w:lang w:val="en-US" w:eastAsia="zh-CN"/>
        </w:rPr>
        <w:t>47号</w:t>
      </w:r>
      <w:r>
        <w:rPr>
          <w:rFonts w:hint="eastAsia" w:ascii="仿宋_GB2312" w:hAnsi="仿宋_GB2312" w:eastAsia="仿宋_GB2312" w:cs="仿宋_GB2312"/>
          <w:b w:val="0"/>
          <w:bCs w:val="0"/>
          <w:snapToGrid/>
          <w:color w:val="auto"/>
          <w:sz w:val="32"/>
          <w:szCs w:val="32"/>
          <w:shd w:val="clear" w:color="auto" w:fill="FFFFFF"/>
          <w:lang w:eastAsia="zh-CN"/>
        </w:rPr>
        <w:t>）同时废止。</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r>
        <w:rPr>
          <w:rFonts w:hint="eastAsia" w:ascii="黑体" w:hAnsi="黑体" w:eastAsia="黑体" w:cs="黑体"/>
          <w:i w:val="0"/>
          <w:color w:val="000000"/>
          <w:spacing w:val="0"/>
          <w:kern w:val="0"/>
          <w:sz w:val="28"/>
          <w:szCs w:val="28"/>
          <w:u w:val="none"/>
          <w:lang w:val="en-US" w:eastAsia="zh-CN" w:bidi="ar"/>
        </w:rPr>
        <w:t>公开方式：</w:t>
      </w:r>
      <w:r>
        <w:rPr>
          <w:rFonts w:hint="eastAsia" w:ascii="仿宋_GB2312" w:hAnsi="仿宋_GB2312" w:eastAsia="仿宋_GB2312" w:cs="仿宋_GB2312"/>
          <w:i w:val="0"/>
          <w:color w:val="000000"/>
          <w:spacing w:val="0"/>
          <w:kern w:val="0"/>
          <w:sz w:val="28"/>
          <w:szCs w:val="28"/>
          <w:u w:val="none"/>
          <w:lang w:val="en-US" w:eastAsia="zh-CN" w:bidi="ar"/>
        </w:rPr>
        <w:t>主动公开</w:t>
      </w:r>
      <w:bookmarkStart w:id="0" w:name="_GoBack"/>
      <w:bookmarkEnd w:id="0"/>
    </w:p>
    <w:sectPr>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EDF29"/>
    <w:multiLevelType w:val="singleLevel"/>
    <w:tmpl w:val="0FFEDF29"/>
    <w:lvl w:ilvl="0" w:tentative="0">
      <w:start w:val="1"/>
      <w:numFmt w:val="chineseCounting"/>
      <w:suff w:val="nothing"/>
      <w:lvlText w:val="（%1）"/>
      <w:lvlJc w:val="left"/>
      <w:rPr>
        <w:rFonts w:hint="eastAsia"/>
      </w:rPr>
    </w:lvl>
  </w:abstractNum>
  <w:abstractNum w:abstractNumId="1">
    <w:nsid w:val="3C579AC4"/>
    <w:multiLevelType w:val="singleLevel"/>
    <w:tmpl w:val="3C579AC4"/>
    <w:lvl w:ilvl="0" w:tentative="0">
      <w:start w:val="1"/>
      <w:numFmt w:val="chineseCounting"/>
      <w:suff w:val="nothing"/>
      <w:lvlText w:val="（%1）"/>
      <w:lvlJc w:val="left"/>
      <w:rPr>
        <w:rFonts w:hint="eastAsia"/>
      </w:rPr>
    </w:lvl>
  </w:abstractNum>
  <w:abstractNum w:abstractNumId="2">
    <w:nsid w:val="5AC04627"/>
    <w:multiLevelType w:val="singleLevel"/>
    <w:tmpl w:val="5AC04627"/>
    <w:lvl w:ilvl="0" w:tentative="0">
      <w:start w:val="1"/>
      <w:numFmt w:val="chineseCounting"/>
      <w:suff w:val="space"/>
      <w:lvlText w:val="第%1章"/>
      <w:lvlJc w:val="left"/>
    </w:lvl>
  </w:abstractNum>
  <w:abstractNum w:abstractNumId="3">
    <w:nsid w:val="5AC046EA"/>
    <w:multiLevelType w:val="multilevel"/>
    <w:tmpl w:val="5AC046EA"/>
    <w:lvl w:ilvl="0" w:tentative="0">
      <w:start w:val="1"/>
      <w:numFmt w:val="chineseCounting"/>
      <w:lvlText w:val="第%1条"/>
      <w:lvlJc w:val="left"/>
      <w:pPr>
        <w:tabs>
          <w:tab w:val="left" w:pos="583"/>
        </w:tabs>
        <w:ind w:left="-10" w:firstLine="0"/>
      </w:pPr>
      <w:rPr>
        <w:rFonts w:hint="eastAsia" w:ascii="宋体" w:hAnsi="宋体" w:eastAsia="仿宋" w:cs="宋体"/>
        <w:b/>
        <w:i w:val="0"/>
        <w:strike w:val="0"/>
        <w:dstrike w:val="0"/>
        <w:color w:val="000000"/>
        <w:sz w:val="32"/>
        <w:szCs w:val="2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F2325"/>
    <w:rsid w:val="08FBCF05"/>
    <w:rsid w:val="0C1C7137"/>
    <w:rsid w:val="1FF1C7A1"/>
    <w:rsid w:val="2FDD52F4"/>
    <w:rsid w:val="358749DB"/>
    <w:rsid w:val="35B71E14"/>
    <w:rsid w:val="3A6F25D8"/>
    <w:rsid w:val="3CF558E6"/>
    <w:rsid w:val="3ED2A39A"/>
    <w:rsid w:val="3F9603EF"/>
    <w:rsid w:val="3FBF350E"/>
    <w:rsid w:val="4CFA5366"/>
    <w:rsid w:val="4FEC6BD1"/>
    <w:rsid w:val="57CF5A23"/>
    <w:rsid w:val="59BC5FC8"/>
    <w:rsid w:val="5DFFE90D"/>
    <w:rsid w:val="5F55A6A2"/>
    <w:rsid w:val="5F75911A"/>
    <w:rsid w:val="5FFD46C7"/>
    <w:rsid w:val="67B31C80"/>
    <w:rsid w:val="6DDF2325"/>
    <w:rsid w:val="6EB74A2B"/>
    <w:rsid w:val="6EFB1B97"/>
    <w:rsid w:val="6F0F0DE3"/>
    <w:rsid w:val="6FD3FB18"/>
    <w:rsid w:val="6FECB5AF"/>
    <w:rsid w:val="6FEFF6B0"/>
    <w:rsid w:val="6FF7A7B5"/>
    <w:rsid w:val="6FFDF0CE"/>
    <w:rsid w:val="77D1A304"/>
    <w:rsid w:val="7BDF1D3A"/>
    <w:rsid w:val="7BE7C9B9"/>
    <w:rsid w:val="7DCD0CDC"/>
    <w:rsid w:val="7DF8DDB4"/>
    <w:rsid w:val="7EEF88AF"/>
    <w:rsid w:val="7EFFB0B4"/>
    <w:rsid w:val="7F9F879D"/>
    <w:rsid w:val="7FBF3614"/>
    <w:rsid w:val="7FE7A54D"/>
    <w:rsid w:val="7FFF96B4"/>
    <w:rsid w:val="94BF3F5E"/>
    <w:rsid w:val="9D7FF4EC"/>
    <w:rsid w:val="9F2D995C"/>
    <w:rsid w:val="9F2F0E22"/>
    <w:rsid w:val="AEDE1CD3"/>
    <w:rsid w:val="B65F03DB"/>
    <w:rsid w:val="B6FF3211"/>
    <w:rsid w:val="BB9103F9"/>
    <w:rsid w:val="BCDBAF2D"/>
    <w:rsid w:val="BEDE2392"/>
    <w:rsid w:val="BF5A1873"/>
    <w:rsid w:val="BFE7989A"/>
    <w:rsid w:val="BFFE7ADF"/>
    <w:rsid w:val="C3FB3D94"/>
    <w:rsid w:val="D765669B"/>
    <w:rsid w:val="DCFF86C8"/>
    <w:rsid w:val="DDCDAB74"/>
    <w:rsid w:val="DF3F31C2"/>
    <w:rsid w:val="DF57ED3A"/>
    <w:rsid w:val="E4FB2DD2"/>
    <w:rsid w:val="E5DD709A"/>
    <w:rsid w:val="E63F366A"/>
    <w:rsid w:val="EBFA1CC8"/>
    <w:rsid w:val="EE6CD5FC"/>
    <w:rsid w:val="EEDBC2AF"/>
    <w:rsid w:val="EF4E70CD"/>
    <w:rsid w:val="EFCF7DFB"/>
    <w:rsid w:val="F17785FB"/>
    <w:rsid w:val="F5B7DF89"/>
    <w:rsid w:val="F5FC1A7B"/>
    <w:rsid w:val="F7BB574C"/>
    <w:rsid w:val="F7F618E5"/>
    <w:rsid w:val="FB7139B6"/>
    <w:rsid w:val="FBFD032A"/>
    <w:rsid w:val="FBFF90B4"/>
    <w:rsid w:val="FC751AE5"/>
    <w:rsid w:val="FD25B86F"/>
    <w:rsid w:val="FDFEC006"/>
    <w:rsid w:val="FDFFE820"/>
    <w:rsid w:val="FE9FD4C2"/>
    <w:rsid w:val="FF154551"/>
    <w:rsid w:val="FF1F20FE"/>
    <w:rsid w:val="FF67577F"/>
    <w:rsid w:val="FF7D8E14"/>
    <w:rsid w:val="FF974239"/>
    <w:rsid w:val="FF97ACA1"/>
    <w:rsid w:val="FF9D6FDD"/>
    <w:rsid w:val="FFA0D371"/>
    <w:rsid w:val="FFABC84D"/>
    <w:rsid w:val="FFD63DC7"/>
    <w:rsid w:val="FFE70C02"/>
    <w:rsid w:val="FFEBACDF"/>
    <w:rsid w:val="FFFF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line="590" w:lineRule="exact"/>
      <w:ind w:firstLine="880" w:firstLineChars="200"/>
      <w:jc w:val="both"/>
    </w:pPr>
    <w:rPr>
      <w:rFonts w:ascii="Calibri" w:hAnsi="Calibri" w:eastAsia="方正仿宋_GBK" w:cs="Times New Roman"/>
      <w:kern w:val="2"/>
      <w:sz w:val="32"/>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2024-03-19T11:04:00Z</dcterms:created>
  <dc:creator>lenovo</dc:creator>
  <cp:lastModifiedBy>刘丽生</cp:lastModifiedBy>
  <cp:lastPrinted>2024-06-07T09:30:00Z</cp:lastPrinted>
  <dcterms:modified xsi:type="dcterms:W3CDTF">2024-07-31T07:24:48Z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3522EEF17C444182B591DD272B89076F</vt:lpwstr>
  </property>
</Properties>
</file>