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80" w:lineRule="exact"/>
        <w:jc w:val="center"/>
        <w:textAlignment w:val="auto"/>
        <w:rPr>
          <w:rFonts w:hint="eastAsia" w:eastAsia="方正小标宋简体" w:cs="方正小标宋简体"/>
          <w:bCs/>
          <w:spacing w:val="-20"/>
          <w:sz w:val="44"/>
          <w:szCs w:val="44"/>
          <w:lang w:eastAsia="zh-CN"/>
        </w:rPr>
      </w:pPr>
      <w:r>
        <w:rPr>
          <w:rFonts w:hint="eastAsia" w:eastAsia="方正小标宋简体" w:cs="方正小标宋简体"/>
          <w:bCs/>
          <w:spacing w:val="-20"/>
          <w:sz w:val="44"/>
          <w:szCs w:val="44"/>
          <w:lang w:eastAsia="zh-CN"/>
        </w:rPr>
        <w:t>危险化学</w:t>
      </w:r>
      <w:r>
        <w:rPr>
          <w:rFonts w:hint="eastAsia" w:eastAsia="方正小标宋简体" w:cs="方正小标宋简体"/>
          <w:bCs/>
          <w:spacing w:val="-20"/>
          <w:sz w:val="44"/>
          <w:szCs w:val="44"/>
        </w:rPr>
        <w:t>品质量监督</w:t>
      </w:r>
      <w:r>
        <w:rPr>
          <w:rFonts w:hint="eastAsia" w:eastAsia="方正小标宋简体" w:cs="方正小标宋简体"/>
          <w:bCs/>
          <w:spacing w:val="-20"/>
          <w:sz w:val="44"/>
          <w:szCs w:val="44"/>
          <w:lang w:eastAsia="zh-CN"/>
        </w:rPr>
        <w:t>抽查</w:t>
      </w:r>
      <w:r>
        <w:rPr>
          <w:rFonts w:hint="eastAsia" w:eastAsia="方正小标宋简体" w:cs="方正小标宋简体"/>
          <w:bCs/>
          <w:spacing w:val="-20"/>
          <w:sz w:val="44"/>
          <w:szCs w:val="44"/>
        </w:rPr>
        <w:t>实施细则</w:t>
      </w:r>
    </w:p>
    <w:p>
      <w:pPr>
        <w:spacing w:line="660" w:lineRule="exact"/>
        <w:ind w:firstLine="880" w:firstLineChars="200"/>
        <w:rPr>
          <w:rFonts w:eastAsia="方正小标宋简体" w:cs="方正小标宋简体"/>
          <w:sz w:val="44"/>
          <w:szCs w:val="44"/>
        </w:rPr>
      </w:pPr>
    </w:p>
    <w:p>
      <w:pPr>
        <w:snapToGrid w:val="0"/>
        <w:spacing w:line="44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一、抽样方法</w:t>
      </w:r>
    </w:p>
    <w:p>
      <w:pPr>
        <w:widowControl/>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以随机抽样的方式在被</w:t>
      </w:r>
      <w:r>
        <w:rPr>
          <w:rFonts w:hint="eastAsia" w:ascii="仿宋_GB2312" w:hAnsi="仿宋_GB2312" w:eastAsia="仿宋_GB2312" w:cs="仿宋_GB2312"/>
          <w:kern w:val="0"/>
          <w:sz w:val="32"/>
          <w:szCs w:val="32"/>
          <w:lang w:eastAsia="zh-CN"/>
        </w:rPr>
        <w:t>抽查市场主体</w:t>
      </w:r>
      <w:r>
        <w:rPr>
          <w:rFonts w:hint="eastAsia" w:ascii="仿宋_GB2312" w:hAnsi="仿宋_GB2312" w:eastAsia="仿宋_GB2312" w:cs="仿宋_GB2312"/>
          <w:kern w:val="0"/>
          <w:sz w:val="32"/>
          <w:szCs w:val="32"/>
        </w:rPr>
        <w:t>的待销产品中抽取。</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随机数一般可使用随机数表等方法产生。</w:t>
      </w:r>
    </w:p>
    <w:p>
      <w:pPr>
        <w:widowControl/>
        <w:spacing w:line="60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抽查数量：每随机抽取的试样量</w:t>
      </w:r>
      <w:r>
        <w:rPr>
          <w:rFonts w:hint="eastAsia" w:ascii="仿宋_GB2312" w:hAnsi="仿宋_GB2312" w:eastAsia="仿宋_GB2312" w:cs="仿宋_GB2312"/>
          <w:kern w:val="0"/>
          <w:sz w:val="32"/>
          <w:szCs w:val="32"/>
          <w:lang w:eastAsia="zh-CN"/>
        </w:rPr>
        <w:t>为</w:t>
      </w:r>
      <w:r>
        <w:rPr>
          <w:rFonts w:hint="eastAsia" w:ascii="仿宋_GB2312" w:hAnsi="仿宋_GB2312" w:eastAsia="仿宋_GB2312" w:cs="仿宋_GB2312"/>
          <w:kern w:val="0"/>
          <w:sz w:val="32"/>
          <w:szCs w:val="32"/>
          <w:lang w:val="en-US" w:eastAsia="zh-CN"/>
        </w:rPr>
        <w:t>2瓶，其中</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lang w:eastAsia="zh-CN"/>
        </w:rPr>
        <w:t>瓶</w:t>
      </w:r>
      <w:r>
        <w:rPr>
          <w:rFonts w:hint="eastAsia" w:ascii="仿宋_GB2312" w:hAnsi="仿宋_GB2312" w:eastAsia="仿宋_GB2312" w:cs="仿宋_GB2312"/>
          <w:kern w:val="0"/>
          <w:sz w:val="32"/>
          <w:szCs w:val="32"/>
        </w:rPr>
        <w:t>作为检验样品，1</w:t>
      </w:r>
      <w:r>
        <w:rPr>
          <w:rFonts w:hint="eastAsia" w:ascii="仿宋_GB2312" w:hAnsi="仿宋_GB2312" w:eastAsia="仿宋_GB2312" w:cs="仿宋_GB2312"/>
          <w:kern w:val="0"/>
          <w:sz w:val="32"/>
          <w:szCs w:val="32"/>
          <w:lang w:eastAsia="zh-CN"/>
        </w:rPr>
        <w:t>瓶</w:t>
      </w:r>
      <w:r>
        <w:rPr>
          <w:rFonts w:hint="eastAsia" w:ascii="仿宋_GB2312" w:hAnsi="仿宋_GB2312" w:eastAsia="仿宋_GB2312" w:cs="仿宋_GB2312"/>
          <w:kern w:val="0"/>
          <w:sz w:val="32"/>
          <w:szCs w:val="32"/>
        </w:rPr>
        <w:t>作为留样样品</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备用样品封存于</w:t>
      </w:r>
      <w:r>
        <w:rPr>
          <w:rFonts w:hint="eastAsia" w:ascii="仿宋_GB2312" w:hAnsi="仿宋_GB2312" w:eastAsia="仿宋_GB2312" w:cs="仿宋_GB2312"/>
          <w:kern w:val="0"/>
          <w:sz w:val="32"/>
          <w:szCs w:val="32"/>
          <w:lang w:eastAsia="zh-CN"/>
        </w:rPr>
        <w:t>被抽查</w:t>
      </w:r>
      <w:r>
        <w:rPr>
          <w:rFonts w:hint="eastAsia" w:ascii="仿宋_GB2312" w:hAnsi="仿宋_GB2312" w:eastAsia="仿宋_GB2312" w:cs="仿宋_GB2312"/>
          <w:kern w:val="0"/>
          <w:sz w:val="32"/>
          <w:szCs w:val="32"/>
        </w:rPr>
        <w:t>单位。</w:t>
      </w:r>
    </w:p>
    <w:p>
      <w:pPr>
        <w:snapToGrid w:val="0"/>
        <w:spacing w:line="440" w:lineRule="exact"/>
        <w:ind w:firstLine="640" w:firstLineChars="200"/>
        <w:rPr>
          <w:rFonts w:hint="eastAsia" w:ascii="仿宋_GB2312" w:hAnsi="仿宋_GB2312" w:eastAsia="仿宋_GB2312" w:cs="仿宋_GB2312"/>
          <w:b/>
          <w:bCs/>
          <w:color w:val="000000"/>
          <w:sz w:val="32"/>
          <w:szCs w:val="32"/>
        </w:rPr>
      </w:pPr>
      <w:r>
        <w:rPr>
          <w:rFonts w:hint="eastAsia" w:ascii="仿宋_GB2312" w:hAnsi="仿宋_GB2312" w:eastAsia="仿宋_GB2312" w:cs="仿宋_GB2312"/>
          <w:sz w:val="32"/>
          <w:szCs w:val="32"/>
          <w:lang w:val="en-US" w:eastAsia="zh-CN"/>
        </w:rPr>
        <w:t>二、检验依据</w:t>
      </w:r>
    </w:p>
    <w:p>
      <w:pPr>
        <w:spacing w:line="59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kern w:val="0"/>
          <w:sz w:val="24"/>
          <w:szCs w:val="24"/>
          <w:lang w:val="en-US" w:eastAsia="zh-CN"/>
        </w:rPr>
        <w:t>.</w:t>
      </w:r>
      <w:r>
        <w:rPr>
          <w:rFonts w:hint="eastAsia" w:ascii="宋体" w:hAnsi="宋体" w:eastAsia="宋体" w:cs="宋体"/>
          <w:kern w:val="0"/>
          <w:sz w:val="24"/>
          <w:szCs w:val="24"/>
          <w:lang w:eastAsia="zh-CN"/>
        </w:rPr>
        <w:t>乙炔</w:t>
      </w:r>
    </w:p>
    <w:tbl>
      <w:tblPr>
        <w:tblStyle w:val="5"/>
        <w:tblW w:w="8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0"/>
        <w:gridCol w:w="2196"/>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480"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2196"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4695"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8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
              </w:numPr>
              <w:tabs>
                <w:tab w:val="left" w:pos="310"/>
              </w:tabs>
              <w:ind w:left="0" w:firstLine="0" w:firstLineChars="0"/>
              <w:jc w:val="center"/>
              <w:rPr>
                <w:rFonts w:hint="eastAsia" w:ascii="宋体" w:hAnsi="宋体" w:eastAsia="宋体" w:cs="宋体"/>
                <w:sz w:val="24"/>
                <w:szCs w:val="24"/>
              </w:rPr>
            </w:pPr>
          </w:p>
        </w:tc>
        <w:tc>
          <w:tcPr>
            <w:tcW w:w="2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乙炔含量</w:t>
            </w:r>
          </w:p>
        </w:tc>
        <w:tc>
          <w:tcPr>
            <w:tcW w:w="46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 6819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8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1"/>
              </w:numPr>
              <w:tabs>
                <w:tab w:val="left" w:pos="310"/>
              </w:tabs>
              <w:ind w:left="0" w:firstLine="0" w:firstLineChars="0"/>
              <w:jc w:val="center"/>
              <w:rPr>
                <w:rFonts w:hint="eastAsia" w:ascii="宋体" w:hAnsi="宋体" w:eastAsia="宋体" w:cs="宋体"/>
                <w:sz w:val="24"/>
                <w:szCs w:val="24"/>
              </w:rPr>
            </w:pPr>
          </w:p>
        </w:tc>
        <w:tc>
          <w:tcPr>
            <w:tcW w:w="2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磷化氢、硫化氢</w:t>
            </w:r>
          </w:p>
        </w:tc>
        <w:tc>
          <w:tcPr>
            <w:tcW w:w="4695"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 6819</w:t>
            </w:r>
          </w:p>
        </w:tc>
      </w:tr>
    </w:tbl>
    <w:p>
      <w:pPr>
        <w:spacing w:line="590" w:lineRule="exact"/>
        <w:ind w:firstLine="480" w:firstLineChars="200"/>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2.纯氢</w:t>
      </w:r>
    </w:p>
    <w:tbl>
      <w:tblPr>
        <w:tblStyle w:val="5"/>
        <w:tblW w:w="83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2196"/>
        <w:gridCol w:w="4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8" w:hRule="atLeast"/>
          <w:tblHeader/>
          <w:jc w:val="center"/>
        </w:trPr>
        <w:tc>
          <w:tcPr>
            <w:tcW w:w="1420"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2196"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rPr>
            </w:pPr>
            <w:r>
              <w:rPr>
                <w:rFonts w:hint="eastAsia" w:ascii="宋体" w:hAnsi="宋体" w:eastAsia="宋体" w:cs="宋体"/>
                <w:bCs/>
                <w:sz w:val="24"/>
                <w:szCs w:val="24"/>
              </w:rPr>
              <w:t>检验项目</w:t>
            </w:r>
          </w:p>
        </w:tc>
        <w:tc>
          <w:tcPr>
            <w:tcW w:w="4729" w:type="dxa"/>
            <w:tcBorders>
              <w:top w:val="single" w:color="auto" w:sz="4" w:space="0"/>
              <w:left w:val="single" w:color="auto" w:sz="4" w:space="0"/>
              <w:bottom w:val="single" w:color="auto" w:sz="4" w:space="0"/>
              <w:right w:val="single" w:color="auto" w:sz="4" w:space="0"/>
            </w:tcBorders>
            <w:shd w:val="clear" w:color="auto" w:fill="D8D8D8"/>
            <w:vAlign w:val="center"/>
          </w:tcPr>
          <w:p>
            <w:pPr>
              <w:adjustRightInd w:val="0"/>
              <w:snapToGrid w:val="0"/>
              <w:spacing w:before="100" w:beforeAutospacing="1" w:after="100" w:afterAutospacing="1" w:line="240" w:lineRule="exact"/>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氢气纯度</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 3634.2-2011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氧含量</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 3634.2-2011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氩含量</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 3634.2-2011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氮含量</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 3634.2-2011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一氧化碳含量</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 3634.2-2011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二氧化碳含量</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 3634.2-2011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甲烷含量</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 3634.2-2011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水分含量</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 3634.2-2011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20" w:type="dxa"/>
            <w:tcBorders>
              <w:top w:val="single" w:color="auto" w:sz="4" w:space="0"/>
              <w:left w:val="single" w:color="auto" w:sz="4" w:space="0"/>
              <w:bottom w:val="single" w:color="auto" w:sz="4" w:space="0"/>
              <w:right w:val="single" w:color="auto" w:sz="4" w:space="0"/>
            </w:tcBorders>
            <w:vAlign w:val="center"/>
          </w:tcPr>
          <w:p>
            <w:pPr>
              <w:pStyle w:val="11"/>
              <w:widowControl/>
              <w:numPr>
                <w:ilvl w:val="0"/>
                <w:numId w:val="0"/>
              </w:numPr>
              <w:tabs>
                <w:tab w:val="left" w:pos="310"/>
              </w:tabs>
              <w:ind w:leftChars="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w:t>
            </w:r>
          </w:p>
        </w:tc>
        <w:tc>
          <w:tcPr>
            <w:tcW w:w="219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lang w:val="en-US" w:eastAsia="zh-CN"/>
              </w:rPr>
            </w:pPr>
            <w:r>
              <w:rPr>
                <w:rFonts w:hint="eastAsia" w:ascii="宋体" w:hAnsi="宋体" w:eastAsia="宋体" w:cs="宋体"/>
                <w:spacing w:val="-6"/>
                <w:sz w:val="24"/>
                <w:szCs w:val="24"/>
              </w:rPr>
              <w:t>杂质总含量（纯氢不做该项目）</w:t>
            </w:r>
          </w:p>
        </w:tc>
        <w:tc>
          <w:tcPr>
            <w:tcW w:w="4729"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pacing w:val="-6"/>
                <w:sz w:val="24"/>
                <w:szCs w:val="24"/>
              </w:rPr>
            </w:pPr>
            <w:r>
              <w:rPr>
                <w:rFonts w:hint="eastAsia" w:ascii="宋体" w:hAnsi="宋体" w:eastAsia="宋体" w:cs="宋体"/>
                <w:spacing w:val="-6"/>
                <w:sz w:val="24"/>
                <w:szCs w:val="24"/>
              </w:rPr>
              <w:t>GB/T 3634.2-2011</w:t>
            </w:r>
          </w:p>
        </w:tc>
      </w:tr>
    </w:tbl>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执行企业标准、团体标准、地方标准的产品，检验项目参照上述内容执行。</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凡是注日期的文件，其随后所有的修改单（不包括勘误的内容）或修订版不适用于本细则。凡是不注日期的文件，其最新版本适用于本细则。</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三、</w:t>
      </w:r>
      <w:r>
        <w:rPr>
          <w:rFonts w:hint="eastAsia" w:ascii="仿宋_GB2312" w:hAnsi="仿宋_GB2312" w:eastAsia="仿宋_GB2312" w:cs="仿宋_GB2312"/>
          <w:kern w:val="0"/>
          <w:sz w:val="32"/>
          <w:szCs w:val="32"/>
          <w:lang w:eastAsia="zh-CN"/>
        </w:rPr>
        <w:t>判定规则</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val="en-US" w:eastAsia="zh-CN"/>
        </w:rPr>
        <w:t xml:space="preserve">3.1 </w:t>
      </w:r>
      <w:r>
        <w:rPr>
          <w:rFonts w:hint="eastAsia" w:ascii="仿宋_GB2312" w:hAnsi="仿宋_GB2312" w:eastAsia="仿宋_GB2312" w:cs="仿宋_GB2312"/>
          <w:kern w:val="0"/>
          <w:sz w:val="32"/>
          <w:szCs w:val="32"/>
          <w:lang w:eastAsia="zh-CN"/>
        </w:rPr>
        <w:t>依据标准</w:t>
      </w:r>
    </w:p>
    <w:p>
      <w:pPr>
        <w:widowControl/>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GB 6819－2004《溶解乙炔》</w:t>
      </w:r>
    </w:p>
    <w:p>
      <w:pPr>
        <w:widowControl/>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GB/T 3634.2－2011《氢气 第2部分：纯氢、高纯氢、超纯氢》</w:t>
      </w:r>
    </w:p>
    <w:p>
      <w:pPr>
        <w:widowControl/>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现行有效的企业标准、团体标准、地方标准及产品明示质量要求。</w:t>
      </w:r>
    </w:p>
    <w:p>
      <w:pPr>
        <w:widowControl/>
        <w:spacing w:line="600" w:lineRule="exact"/>
        <w:ind w:firstLine="640" w:firstLineChars="200"/>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3.2 判定原则</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经检验，检验项目全部合格，判定为被抽查产品所检项目未发现不合格；检验项目中任一项或一项以上不合格，判定为被抽查产品不合格。</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若被检产品明示的质量要求高于本细则中检验项目依据的标准要求时，应按被检产品明示的质量要求判定。</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若被检产品明示的质量要求低于本细则中检验项目依据的强制性标准要求时，应按照强制性标准要求判定。</w:t>
      </w:r>
    </w:p>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若被检产品明示的质量要求低于或包含本细则中检验项目依据的推荐性标准要求时，应以被检产品明示的质量要求判定。</w:t>
      </w:r>
    </w:p>
    <w:p>
      <w:pPr>
        <w:widowControl/>
        <w:spacing w:line="600" w:lineRule="exact"/>
        <w:ind w:firstLine="640" w:firstLineChars="200"/>
        <w:rPr>
          <w:rFonts w:hint="eastAsia" w:ascii="仿宋_GB2312" w:hAnsi="仿宋_GB2312" w:eastAsia="仿宋_GB2312" w:cs="仿宋_GB2312"/>
          <w:kern w:val="0"/>
          <w:sz w:val="32"/>
          <w:szCs w:val="32"/>
          <w:lang w:eastAsia="zh-CN"/>
        </w:rPr>
      </w:pPr>
      <w:bookmarkStart w:id="0" w:name="_GoBack"/>
      <w:r>
        <w:rPr>
          <w:rFonts w:hint="eastAsia" w:ascii="仿宋_GB2312" w:hAnsi="仿宋_GB2312" w:eastAsia="仿宋_GB2312" w:cs="仿宋_GB2312"/>
          <w:kern w:val="0"/>
          <w:sz w:val="32"/>
          <w:szCs w:val="32"/>
          <w:lang w:eastAsia="zh-CN"/>
        </w:rPr>
        <w:t>若被检产品明示的质量要求缺少本细则中检验项目依据的强制性标准要求时，应按照强制性标准要求判定。</w:t>
      </w:r>
    </w:p>
    <w:bookmarkEnd w:id="0"/>
    <w:p>
      <w:pPr>
        <w:widowControl/>
        <w:spacing w:line="600" w:lineRule="exact"/>
        <w:ind w:firstLine="640"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kern w:val="0"/>
          <w:sz w:val="32"/>
          <w:szCs w:val="32"/>
          <w:lang w:eastAsia="zh-CN"/>
        </w:rPr>
        <w:t>若被检产品明示的质量要求缺少本细则中检验项目依据的推荐性标准要求时，该项目不参与判定。</w:t>
      </w:r>
    </w:p>
    <w:p>
      <w:pPr>
        <w:spacing w:line="590" w:lineRule="exact"/>
        <w:ind w:firstLine="480" w:firstLineChars="200"/>
        <w:rPr>
          <w:rFonts w:hint="eastAsia" w:ascii="宋体" w:hAnsi="宋体" w:eastAsia="宋体" w:cs="宋体"/>
          <w:kern w:val="0"/>
          <w:sz w:val="24"/>
          <w:szCs w:val="24"/>
          <w:lang w:val="en-US" w:eastAsia="zh-C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国标楷体">
    <w:panose1 w:val="02000500000000000000"/>
    <w:charset w:val="86"/>
    <w:family w:val="auto"/>
    <w:pitch w:val="default"/>
    <w:sig w:usb0="00000001" w:usb1="08000000" w:usb2="00000000" w:usb3="00000000" w:csb0="0006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CF5666"/>
    <w:multiLevelType w:val="multilevel"/>
    <w:tmpl w:val="1DCF566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mMmI2ZTEyY2ZkZmFiYzBhYjA4YmZlZTgxMmZjMWMifQ=="/>
  </w:docVars>
  <w:rsids>
    <w:rsidRoot w:val="00FA122C"/>
    <w:rsid w:val="00092474"/>
    <w:rsid w:val="00381DA8"/>
    <w:rsid w:val="003B6A09"/>
    <w:rsid w:val="004017B7"/>
    <w:rsid w:val="00677471"/>
    <w:rsid w:val="00A11EB0"/>
    <w:rsid w:val="00CC2AE2"/>
    <w:rsid w:val="00DC1206"/>
    <w:rsid w:val="00DF64CE"/>
    <w:rsid w:val="00EA3AF9"/>
    <w:rsid w:val="00FA122C"/>
    <w:rsid w:val="01537940"/>
    <w:rsid w:val="021358C1"/>
    <w:rsid w:val="08731931"/>
    <w:rsid w:val="1BC74B8B"/>
    <w:rsid w:val="26540AA3"/>
    <w:rsid w:val="298E2EC0"/>
    <w:rsid w:val="29EA71E1"/>
    <w:rsid w:val="3C315A4B"/>
    <w:rsid w:val="46B303F3"/>
    <w:rsid w:val="4B587613"/>
    <w:rsid w:val="562F2BA3"/>
    <w:rsid w:val="5651609F"/>
    <w:rsid w:val="590233BD"/>
    <w:rsid w:val="5AD01E2F"/>
    <w:rsid w:val="61D0587A"/>
    <w:rsid w:val="6A9C0E67"/>
    <w:rsid w:val="7BF875E0"/>
    <w:rsid w:val="F89F70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jc w:val="center"/>
      <w:outlineLvl w:val="0"/>
    </w:pPr>
    <w:rPr>
      <w:rFonts w:ascii="方正小标宋简体" w:eastAsia="方正小标宋简体"/>
      <w:kern w:val="44"/>
      <w:sz w:val="3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7"/>
    <w:qFormat/>
    <w:uiPriority w:val="0"/>
    <w:pPr>
      <w:tabs>
        <w:tab w:val="center" w:pos="4153"/>
        <w:tab w:val="right" w:pos="8306"/>
      </w:tabs>
      <w:snapToGrid w:val="0"/>
      <w:jc w:val="left"/>
    </w:pPr>
    <w:rPr>
      <w:sz w:val="18"/>
    </w:rPr>
  </w:style>
  <w:style w:type="paragraph" w:styleId="4">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Times New Roman" w:hAnsi="Times New Roman" w:eastAsia="仿宋_GB2312" w:cs="Times New Roman"/>
      <w:sz w:val="18"/>
      <w:szCs w:val="24"/>
    </w:rPr>
  </w:style>
  <w:style w:type="paragraph" w:customStyle="1" w:styleId="8">
    <w:name w:val="段"/>
    <w:qFormat/>
    <w:uiPriority w:val="0"/>
    <w:pPr>
      <w:tabs>
        <w:tab w:val="center" w:pos="4201"/>
        <w:tab w:val="right" w:leader="dot" w:pos="9298"/>
      </w:tabs>
      <w:autoSpaceDE w:val="0"/>
      <w:autoSpaceDN w:val="0"/>
      <w:ind w:firstLine="420" w:firstLineChars="200"/>
      <w:jc w:val="both"/>
    </w:pPr>
    <w:rPr>
      <w:rFonts w:ascii="宋体" w:hAnsi="Calibri" w:eastAsia="宋体" w:cs="Times New Roman"/>
      <w:kern w:val="2"/>
      <w:sz w:val="21"/>
      <w:szCs w:val="22"/>
      <w:lang w:val="en-US" w:eastAsia="zh-CN" w:bidi="ar-SA"/>
    </w:rPr>
  </w:style>
  <w:style w:type="paragraph" w:customStyle="1" w:styleId="9">
    <w:name w:val="一级条标题"/>
    <w:next w:val="8"/>
    <w:qFormat/>
    <w:uiPriority w:val="0"/>
    <w:pPr>
      <w:spacing w:beforeLines="50" w:afterLines="50"/>
      <w:ind w:left="716"/>
      <w:outlineLvl w:val="2"/>
    </w:pPr>
    <w:rPr>
      <w:rFonts w:ascii="黑体" w:hAnsi="Calibri" w:eastAsia="黑体" w:cs="Times New Roman"/>
      <w:kern w:val="0"/>
      <w:sz w:val="21"/>
      <w:szCs w:val="21"/>
      <w:lang w:val="en-US" w:eastAsia="zh-CN" w:bidi="ar-SA"/>
    </w:rPr>
  </w:style>
  <w:style w:type="paragraph" w:customStyle="1" w:styleId="10">
    <w:name w:val="二级条标题"/>
    <w:basedOn w:val="9"/>
    <w:next w:val="8"/>
    <w:qFormat/>
    <w:uiPriority w:val="0"/>
    <w:pPr>
      <w:spacing w:before="50" w:after="50"/>
      <w:outlineLvl w:val="3"/>
    </w:pPr>
  </w:style>
  <w:style w:type="paragraph" w:customStyle="1" w:styleId="11">
    <w:name w:val="列出段落2"/>
    <w:basedOn w:val="1"/>
    <w:unhideWhenUsed/>
    <w:qFormat/>
    <w:uiPriority w:val="99"/>
    <w:pPr>
      <w:ind w:firstLine="420" w:firstLineChars="200"/>
    </w:pPr>
    <w:rPr>
      <w:sz w:val="30"/>
    </w:rPr>
  </w:style>
  <w:style w:type="paragraph" w:customStyle="1" w:styleId="12">
    <w:name w:val="Table Paragraph"/>
    <w:basedOn w:val="1"/>
    <w:qFormat/>
    <w:uiPriority w:val="0"/>
    <w:pPr>
      <w:jc w:val="left"/>
    </w:pPr>
    <w:rPr>
      <w:rFonts w:ascii="Calibri" w:hAnsi="Calibri"/>
      <w:kern w:val="0"/>
      <w:sz w:val="22"/>
      <w:szCs w:val="22"/>
      <w:lang w:eastAsia="en-US"/>
    </w:rPr>
  </w:style>
  <w:style w:type="character" w:customStyle="1" w:styleId="13">
    <w:name w:val="页眉 Char"/>
    <w:basedOn w:val="6"/>
    <w:link w:val="4"/>
    <w:qFormat/>
    <w:uiPriority w:val="0"/>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1028</Words>
  <Characters>1176</Characters>
  <Lines>23</Lines>
  <Paragraphs>6</Paragraphs>
  <TotalTime>10</TotalTime>
  <ScaleCrop>false</ScaleCrop>
  <LinksUpToDate>false</LinksUpToDate>
  <CharactersWithSpaces>1190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2020-07-22T17:55:00Z</dcterms:created>
  <dc:creator>zyw</dc:creator>
  <cp:lastModifiedBy>dxkj</cp:lastModifiedBy>
  <cp:lastPrinted>2024-04-22T10:45:53Z</cp:lastPrinted>
  <dcterms:modified xsi:type="dcterms:W3CDTF">2024-04-22T11:46:14Z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2E9615EEA30B431AB2E31251A1717D5D</vt:lpwstr>
  </property>
</Properties>
</file>