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568" w:lineRule="exact"/>
        <w:jc w:val="center"/>
        <w:rPr>
          <w:rFonts w:ascii="方正小标宋简体" w:hAnsi="方正小标宋简体" w:eastAsia="方正小标宋简体" w:cs="方正小标宋简体"/>
          <w:kern w:val="0"/>
          <w:sz w:val="40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4"/>
        </w:rPr>
        <w:t>市级区域农机服务中心申报表</w:t>
      </w:r>
    </w:p>
    <w:bookmarkEnd w:id="0"/>
    <w:p>
      <w:pPr>
        <w:adjustRightInd w:val="0"/>
        <w:snapToGrid w:val="0"/>
        <w:spacing w:line="568" w:lineRule="exact"/>
        <w:ind w:firstLine="632" w:firstLineChars="200"/>
        <w:jc w:val="left"/>
        <w:rPr>
          <w:rFonts w:ascii="仿宋_GB2312" w:hAnsi="仿宋_GB2312" w:eastAsia="仿宋_GB2312" w:cs="仿宋_GB2312"/>
          <w:kern w:val="0"/>
          <w:szCs w:val="32"/>
        </w:rPr>
      </w:pPr>
    </w:p>
    <w:p>
      <w:pPr>
        <w:adjustRightInd w:val="0"/>
        <w:snapToGrid w:val="0"/>
        <w:spacing w:line="568" w:lineRule="exact"/>
        <w:jc w:val="left"/>
        <w:rPr>
          <w:rFonts w:ascii="方正仿宋_GBK" w:hAnsi="方正仿宋_GBK" w:eastAsia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/>
          <w:kern w:val="0"/>
          <w:sz w:val="24"/>
          <w:szCs w:val="24"/>
        </w:rPr>
        <w:t xml:space="preserve">填表人：        填报时间：    年   月   日              联系电话：        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612"/>
        <w:gridCol w:w="570"/>
        <w:gridCol w:w="819"/>
        <w:gridCol w:w="1500"/>
        <w:gridCol w:w="453"/>
        <w:gridCol w:w="696"/>
        <w:gridCol w:w="351"/>
        <w:gridCol w:w="234"/>
        <w:gridCol w:w="1273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90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一、申报主体基本情况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spacing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申报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spacing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主体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spacing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基本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pacing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信息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申报主体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名称</w:t>
            </w:r>
          </w:p>
        </w:tc>
        <w:tc>
          <w:tcPr>
            <w:tcW w:w="57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pacing w:val="2"/>
                <w:sz w:val="24"/>
                <w:szCs w:val="24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地址</w:t>
            </w:r>
          </w:p>
        </w:tc>
        <w:tc>
          <w:tcPr>
            <w:tcW w:w="57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pacing w:val="2"/>
                <w:sz w:val="24"/>
                <w:szCs w:val="24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590" w:beforeLines="100" w:after="590" w:afterLines="100" w:line="320" w:lineRule="exact"/>
              <w:jc w:val="center"/>
              <w:rPr>
                <w:rFonts w:ascii="方正仿宋_GBK" w:hAnsi="方正仿宋_GBK" w:eastAsia="方正仿宋_GBK"/>
                <w:spacing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pacing w:val="2"/>
                <w:sz w:val="24"/>
                <w:szCs w:val="24"/>
              </w:rPr>
              <w:t>联系人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590" w:beforeLines="100" w:after="590" w:afterLines="100" w:line="320" w:lineRule="exact"/>
              <w:jc w:val="center"/>
              <w:rPr>
                <w:rFonts w:ascii="方正仿宋_GBK" w:hAnsi="方正仿宋_GBK" w:eastAsia="方正仿宋_GBK"/>
                <w:spacing w:val="2"/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590" w:beforeLines="100" w:after="590" w:afterLines="100" w:line="320" w:lineRule="exact"/>
              <w:jc w:val="center"/>
              <w:rPr>
                <w:rFonts w:ascii="方正仿宋_GBK" w:hAnsi="方正仿宋_GBK" w:eastAsia="方正仿宋_GBK"/>
                <w:spacing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pacing w:val="2"/>
                <w:sz w:val="24"/>
                <w:szCs w:val="24"/>
              </w:rPr>
              <w:t>联系方式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590" w:beforeLines="100" w:after="590" w:afterLines="100" w:line="320" w:lineRule="exact"/>
              <w:jc w:val="center"/>
              <w:rPr>
                <w:rFonts w:ascii="方正仿宋_GBK" w:hAnsi="方正仿宋_GBK" w:eastAsia="方正仿宋_GBK"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3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pacing w:val="2"/>
                <w:sz w:val="24"/>
                <w:szCs w:val="24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spacing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pacing w:val="2"/>
                <w:sz w:val="24"/>
                <w:szCs w:val="24"/>
              </w:rPr>
              <w:t>工商首次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spacing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pacing w:val="2"/>
                <w:sz w:val="24"/>
                <w:szCs w:val="24"/>
              </w:rPr>
              <w:t>注册时间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spacing w:val="2"/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spacing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pacing w:val="2"/>
                <w:sz w:val="24"/>
                <w:szCs w:val="24"/>
              </w:rPr>
              <w:t>工商变更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spacing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pacing w:val="2"/>
                <w:sz w:val="24"/>
                <w:szCs w:val="24"/>
              </w:rPr>
              <w:t>登记时间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spacing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参与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spacing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建设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spacing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运营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spacing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主体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spacing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基本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spacing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信息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spacing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参与运营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spacing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主体名称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spacing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地址</w:t>
            </w: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spacing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联系人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spacing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sz w:val="24"/>
                <w:szCs w:val="24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1.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2.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3.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4.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3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Arial"/>
                <w:kern w:val="0"/>
                <w:sz w:val="24"/>
                <w:szCs w:val="24"/>
              </w:rPr>
              <w:t>…………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90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二、区域农机服务中心基本情况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区域农机服务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中心拟用名</w:t>
            </w:r>
          </w:p>
        </w:tc>
        <w:tc>
          <w:tcPr>
            <w:tcW w:w="710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区域农机服务中心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合作社成员数（个）/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公司等固定人员数(人）</w:t>
            </w:r>
          </w:p>
        </w:tc>
        <w:tc>
          <w:tcPr>
            <w:tcW w:w="57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持农机驾驶证人数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持农机维修工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资格证人数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占地面积（</w:t>
            </w:r>
            <w:r>
              <w:rPr>
                <w:rFonts w:hint="eastAsia" w:ascii="方正仿宋_GBK" w:hAnsi="方正仿宋_GBK" w:eastAsia="方正仿宋_GBK" w:cs="宋体"/>
                <w:kern w:val="0"/>
                <w:sz w:val="24"/>
                <w:szCs w:val="24"/>
              </w:rPr>
              <w:t>㎡</w:t>
            </w:r>
            <w:r>
              <w:rPr>
                <w:rFonts w:hint="eastAsia" w:ascii="方正仿宋_GBK" w:hAnsi="方正仿宋_GBK" w:eastAsia="方正仿宋_GBK" w:cs="仿宋_GB2312"/>
                <w:kern w:val="0"/>
                <w:sz w:val="24"/>
                <w:szCs w:val="24"/>
              </w:rPr>
              <w:t>）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维修设备数（台/套）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其中：办公用地面积（</w:t>
            </w:r>
            <w:r>
              <w:rPr>
                <w:rFonts w:hint="eastAsia" w:ascii="方正仿宋_GBK" w:hAnsi="方正仿宋_GBK" w:eastAsia="方正仿宋_GBK" w:cs="宋体"/>
                <w:kern w:val="0"/>
                <w:sz w:val="24"/>
                <w:szCs w:val="24"/>
              </w:rPr>
              <w:t>㎡</w:t>
            </w:r>
            <w:r>
              <w:rPr>
                <w:rFonts w:hint="eastAsia" w:ascii="方正仿宋_GBK" w:hAnsi="方正仿宋_GBK" w:eastAsia="方正仿宋_GBK" w:cs="仿宋_GB2312"/>
                <w:kern w:val="0"/>
                <w:sz w:val="24"/>
                <w:szCs w:val="24"/>
              </w:rPr>
              <w:t>）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其中：机库面积（</w:t>
            </w:r>
            <w:r>
              <w:rPr>
                <w:rFonts w:hint="eastAsia" w:ascii="方正仿宋_GBK" w:hAnsi="方正仿宋_GBK" w:eastAsia="方正仿宋_GBK" w:cs="宋体"/>
                <w:kern w:val="0"/>
                <w:sz w:val="24"/>
                <w:szCs w:val="24"/>
              </w:rPr>
              <w:t>㎡</w:t>
            </w:r>
            <w:r>
              <w:rPr>
                <w:rFonts w:hint="eastAsia" w:ascii="方正仿宋_GBK" w:hAnsi="方正仿宋_GBK" w:eastAsia="方正仿宋_GBK" w:cs="仿宋_GB2312"/>
                <w:kern w:val="0"/>
                <w:sz w:val="24"/>
                <w:szCs w:val="24"/>
              </w:rPr>
              <w:t>）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其中：维修间面积（</w:t>
            </w:r>
            <w:r>
              <w:rPr>
                <w:rFonts w:hint="eastAsia" w:ascii="方正仿宋_GBK" w:hAnsi="方正仿宋_GBK" w:eastAsia="方正仿宋_GBK" w:cs="宋体"/>
                <w:kern w:val="0"/>
                <w:sz w:val="24"/>
                <w:szCs w:val="24"/>
              </w:rPr>
              <w:t>㎡</w:t>
            </w:r>
            <w:r>
              <w:rPr>
                <w:rFonts w:hint="eastAsia" w:ascii="方正仿宋_GBK" w:hAnsi="方正仿宋_GBK" w:eastAsia="方正仿宋_GBK" w:cs="仿宋_GB2312"/>
                <w:kern w:val="0"/>
                <w:sz w:val="24"/>
                <w:szCs w:val="24"/>
              </w:rPr>
              <w:t>）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其中：加工场地面积（</w:t>
            </w:r>
            <w:r>
              <w:rPr>
                <w:rFonts w:hint="eastAsia" w:ascii="方正仿宋_GBK" w:hAnsi="方正仿宋_GBK" w:eastAsia="方正仿宋_GBK" w:cs="宋体"/>
                <w:kern w:val="0"/>
                <w:sz w:val="24"/>
                <w:szCs w:val="24"/>
              </w:rPr>
              <w:t>㎡</w:t>
            </w:r>
            <w:r>
              <w:rPr>
                <w:rFonts w:hint="eastAsia" w:ascii="方正仿宋_GBK" w:hAnsi="方正仿宋_GBK" w:eastAsia="方正仿宋_GBK" w:cs="仿宋_GB2312"/>
                <w:kern w:val="0"/>
                <w:sz w:val="24"/>
                <w:szCs w:val="24"/>
              </w:rPr>
              <w:t>）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其中：展示（销）场地面积（</w:t>
            </w:r>
            <w:r>
              <w:rPr>
                <w:rFonts w:hint="eastAsia" w:ascii="方正仿宋_GBK" w:hAnsi="方正仿宋_GBK" w:eastAsia="方正仿宋_GBK" w:cs="宋体"/>
                <w:kern w:val="0"/>
                <w:sz w:val="24"/>
                <w:szCs w:val="24"/>
              </w:rPr>
              <w:t>㎡</w:t>
            </w:r>
            <w:r>
              <w:rPr>
                <w:rFonts w:hint="eastAsia" w:ascii="方正仿宋_GBK" w:hAnsi="方正仿宋_GBK" w:eastAsia="方正仿宋_GBK" w:cs="仿宋_GB2312"/>
                <w:kern w:val="0"/>
                <w:sz w:val="24"/>
                <w:szCs w:val="24"/>
              </w:rPr>
              <w:t>）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其中：其他场地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面积（</w:t>
            </w:r>
            <w:r>
              <w:rPr>
                <w:rFonts w:hint="eastAsia" w:ascii="方正仿宋_GBK" w:hAnsi="方正仿宋_GBK" w:eastAsia="方正仿宋_GBK" w:cs="宋体"/>
                <w:kern w:val="0"/>
                <w:sz w:val="24"/>
                <w:szCs w:val="24"/>
              </w:rPr>
              <w:t>㎡</w:t>
            </w:r>
            <w:r>
              <w:rPr>
                <w:rFonts w:hint="eastAsia" w:ascii="方正仿宋_GBK" w:hAnsi="方正仿宋_GBK" w:eastAsia="方正仿宋_GBK" w:cs="仿宋_GB2312"/>
                <w:kern w:val="0"/>
                <w:sz w:val="24"/>
                <w:szCs w:val="24"/>
              </w:rPr>
              <w:t>）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其中：低温粮库或冷库库容面积（</w:t>
            </w:r>
            <w:r>
              <w:rPr>
                <w:rFonts w:hint="eastAsia" w:ascii="方正仿宋_GBK" w:hAnsi="方正仿宋_GBK" w:eastAsia="方正仿宋_GBK" w:cs="宋体"/>
                <w:kern w:val="0"/>
                <w:sz w:val="24"/>
                <w:szCs w:val="24"/>
              </w:rPr>
              <w:t>㎡</w:t>
            </w:r>
            <w:r>
              <w:rPr>
                <w:rFonts w:hint="eastAsia" w:ascii="方正仿宋_GBK" w:hAnsi="方正仿宋_GBK" w:eastAsia="方正仿宋_GBK" w:cs="仿宋_GB2312"/>
                <w:kern w:val="0"/>
                <w:sz w:val="24"/>
                <w:szCs w:val="24"/>
              </w:rPr>
              <w:t>）</w:t>
            </w:r>
          </w:p>
        </w:tc>
        <w:tc>
          <w:tcPr>
            <w:tcW w:w="57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稻谷</w:t>
            </w: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或果蔬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年机械化烘干量（吨/年）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工厂化育秧（苗）年供秧面积（亩/次）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种子（种苗）年均供应量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（公斤/棵）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肥料年均供应量（公斤）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农药年均供应量（公斤）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农产品初加工总量（吨）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年开展农机化技术培训（人/次）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拥有自主农产品品牌数量（个）、名称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其他农事服务内容（详列，可另附页）</w:t>
            </w:r>
          </w:p>
        </w:tc>
        <w:tc>
          <w:tcPr>
            <w:tcW w:w="57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拥有农机原值（万元）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（截至申报日期）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拥有农机具总数（台/套）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 xml:space="preserve">（截至申报日期） 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履带式拖拉机：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台</w:t>
            </w:r>
          </w:p>
        </w:tc>
        <w:tc>
          <w:tcPr>
            <w:tcW w:w="37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履带式联合收获机：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乘坐式插秧机：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台</w:t>
            </w:r>
          </w:p>
        </w:tc>
        <w:tc>
          <w:tcPr>
            <w:tcW w:w="37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472" w:firstLineChars="200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农用无人机：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9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 xml:space="preserve">农用水泵（流量、台数）： 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立方米/小时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 xml:space="preserve">台 </w:t>
            </w:r>
          </w:p>
        </w:tc>
        <w:tc>
          <w:tcPr>
            <w:tcW w:w="30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喷灌机：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4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固定式稻谷烘干机：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台（套），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日烘干能力达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  <w:u w:val="single"/>
              </w:rPr>
              <w:t xml:space="preserve">     吨</w:t>
            </w:r>
          </w:p>
        </w:tc>
        <w:tc>
          <w:tcPr>
            <w:tcW w:w="42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移动式烘干机：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台（套），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日烘干能力达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  <w:u w:val="single"/>
              </w:rPr>
              <w:t xml:space="preserve">     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0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其他农机装备（类型、台数）：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，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台/套（可另附页）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spacing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项  目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spacing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2022年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spacing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区域农机服务中心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经营收入（万元）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年盈余总额（万元）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年农机作业服务总面积（亩）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其中：机耕面积（亩）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机种面积（亩）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机收面积（亩）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工厂化育秧（苗）年供秧面积（亩/次）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稻谷</w:t>
            </w: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或果蔬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年机械化烘干量（吨）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自有土地面积（亩）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承包土地面积（亩）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906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三、区域农机服务中心近两年来运营主要情况和成效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（800字以内，可另附页）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9060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9" w:hRule="atLeast"/>
          <w:jc w:val="center"/>
        </w:trPr>
        <w:tc>
          <w:tcPr>
            <w:tcW w:w="2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spacing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县级农机化主管部门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推荐意见</w:t>
            </w:r>
          </w:p>
        </w:tc>
        <w:tc>
          <w:tcPr>
            <w:tcW w:w="65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 xml:space="preserve">                              单位（盖章）：</w:t>
            </w:r>
          </w:p>
          <w:p>
            <w:pPr>
              <w:adjustRightInd w:val="0"/>
              <w:snapToGrid w:val="0"/>
              <w:spacing w:line="320" w:lineRule="exact"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月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日</w:t>
            </w:r>
          </w:p>
        </w:tc>
      </w:tr>
    </w:tbl>
    <w:p>
      <w:pPr>
        <w:spacing w:line="20" w:lineRule="exact"/>
        <w:rPr>
          <w:sz w:val="28"/>
          <w:szCs w:val="28"/>
        </w:rPr>
      </w:pPr>
    </w:p>
    <w:sectPr>
      <w:pgSz w:w="11906" w:h="16838"/>
      <w:pgMar w:top="1701" w:right="1474" w:bottom="1418" w:left="1588" w:header="851" w:footer="1020" w:gutter="0"/>
      <w:cols w:space="720" w:num="1"/>
      <w:titlePg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ˎ̥">
    <w:altName w:val="微软雅黑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315"/>
  <w:drawingGridVerticalSpacing w:val="29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EFB"/>
    <w:rsid w:val="00067CBD"/>
    <w:rsid w:val="00090A58"/>
    <w:rsid w:val="000961EE"/>
    <w:rsid w:val="000A7A12"/>
    <w:rsid w:val="000B7154"/>
    <w:rsid w:val="000C2415"/>
    <w:rsid w:val="000D7AFF"/>
    <w:rsid w:val="000E6C3E"/>
    <w:rsid w:val="000F144B"/>
    <w:rsid w:val="00130215"/>
    <w:rsid w:val="001313D2"/>
    <w:rsid w:val="00137C57"/>
    <w:rsid w:val="00172A27"/>
    <w:rsid w:val="00173B69"/>
    <w:rsid w:val="0018198B"/>
    <w:rsid w:val="001A25CA"/>
    <w:rsid w:val="001A3C08"/>
    <w:rsid w:val="001C51DA"/>
    <w:rsid w:val="001E1E48"/>
    <w:rsid w:val="002005DE"/>
    <w:rsid w:val="002133BF"/>
    <w:rsid w:val="0023077A"/>
    <w:rsid w:val="00262E83"/>
    <w:rsid w:val="00270786"/>
    <w:rsid w:val="00277D02"/>
    <w:rsid w:val="002D1F9F"/>
    <w:rsid w:val="002E10E7"/>
    <w:rsid w:val="002F2802"/>
    <w:rsid w:val="00321115"/>
    <w:rsid w:val="003317D4"/>
    <w:rsid w:val="0033526D"/>
    <w:rsid w:val="0033695F"/>
    <w:rsid w:val="00337012"/>
    <w:rsid w:val="003A5734"/>
    <w:rsid w:val="003B4A3C"/>
    <w:rsid w:val="004439B2"/>
    <w:rsid w:val="00477FA0"/>
    <w:rsid w:val="00480F9C"/>
    <w:rsid w:val="00494F81"/>
    <w:rsid w:val="004A3375"/>
    <w:rsid w:val="005142AF"/>
    <w:rsid w:val="00587C5B"/>
    <w:rsid w:val="00595210"/>
    <w:rsid w:val="005B1CFA"/>
    <w:rsid w:val="005C0E2C"/>
    <w:rsid w:val="005D0FCB"/>
    <w:rsid w:val="005D436A"/>
    <w:rsid w:val="00613E19"/>
    <w:rsid w:val="00631A5C"/>
    <w:rsid w:val="00632E4D"/>
    <w:rsid w:val="00632F26"/>
    <w:rsid w:val="0069132F"/>
    <w:rsid w:val="006B1A63"/>
    <w:rsid w:val="006D5A48"/>
    <w:rsid w:val="006E1947"/>
    <w:rsid w:val="007111C5"/>
    <w:rsid w:val="00714463"/>
    <w:rsid w:val="0077263C"/>
    <w:rsid w:val="00772A0C"/>
    <w:rsid w:val="00782CC1"/>
    <w:rsid w:val="00782FC1"/>
    <w:rsid w:val="00796F98"/>
    <w:rsid w:val="007B031C"/>
    <w:rsid w:val="007D595E"/>
    <w:rsid w:val="007D7ABD"/>
    <w:rsid w:val="007E0220"/>
    <w:rsid w:val="007E6C7E"/>
    <w:rsid w:val="008159CC"/>
    <w:rsid w:val="00837BCE"/>
    <w:rsid w:val="00874473"/>
    <w:rsid w:val="0088112D"/>
    <w:rsid w:val="00884391"/>
    <w:rsid w:val="00896D54"/>
    <w:rsid w:val="008A2C3B"/>
    <w:rsid w:val="008C1931"/>
    <w:rsid w:val="008E73AA"/>
    <w:rsid w:val="008F2048"/>
    <w:rsid w:val="009049F8"/>
    <w:rsid w:val="00920426"/>
    <w:rsid w:val="00931171"/>
    <w:rsid w:val="00943C71"/>
    <w:rsid w:val="00975657"/>
    <w:rsid w:val="00980D10"/>
    <w:rsid w:val="009810B9"/>
    <w:rsid w:val="00994747"/>
    <w:rsid w:val="00A115A1"/>
    <w:rsid w:val="00A26DA8"/>
    <w:rsid w:val="00A44122"/>
    <w:rsid w:val="00A527E8"/>
    <w:rsid w:val="00A73276"/>
    <w:rsid w:val="00A83EA8"/>
    <w:rsid w:val="00AA4664"/>
    <w:rsid w:val="00AA5B4B"/>
    <w:rsid w:val="00AC4BD1"/>
    <w:rsid w:val="00B04968"/>
    <w:rsid w:val="00B10E80"/>
    <w:rsid w:val="00B40A9A"/>
    <w:rsid w:val="00B57848"/>
    <w:rsid w:val="00B85169"/>
    <w:rsid w:val="00B97550"/>
    <w:rsid w:val="00B97F49"/>
    <w:rsid w:val="00BB1DAB"/>
    <w:rsid w:val="00BB507E"/>
    <w:rsid w:val="00BD34CD"/>
    <w:rsid w:val="00BF6C04"/>
    <w:rsid w:val="00C703A7"/>
    <w:rsid w:val="00C71115"/>
    <w:rsid w:val="00C73197"/>
    <w:rsid w:val="00CD25D7"/>
    <w:rsid w:val="00CD7DA9"/>
    <w:rsid w:val="00D055D3"/>
    <w:rsid w:val="00D12272"/>
    <w:rsid w:val="00D1354E"/>
    <w:rsid w:val="00D40C65"/>
    <w:rsid w:val="00D552BD"/>
    <w:rsid w:val="00D63194"/>
    <w:rsid w:val="00D6423D"/>
    <w:rsid w:val="00D97F49"/>
    <w:rsid w:val="00DB44FA"/>
    <w:rsid w:val="00DB5A63"/>
    <w:rsid w:val="00DF0D8C"/>
    <w:rsid w:val="00DF28F5"/>
    <w:rsid w:val="00DF6215"/>
    <w:rsid w:val="00E00DD3"/>
    <w:rsid w:val="00E1654D"/>
    <w:rsid w:val="00E23A2A"/>
    <w:rsid w:val="00E2443F"/>
    <w:rsid w:val="00E52DF3"/>
    <w:rsid w:val="00E6053E"/>
    <w:rsid w:val="00E66D4F"/>
    <w:rsid w:val="00E757AF"/>
    <w:rsid w:val="00E86A0E"/>
    <w:rsid w:val="00EB4BB9"/>
    <w:rsid w:val="00EB79EB"/>
    <w:rsid w:val="00ED30D4"/>
    <w:rsid w:val="00ED5FA7"/>
    <w:rsid w:val="00EE4044"/>
    <w:rsid w:val="00EF0E59"/>
    <w:rsid w:val="00EF3608"/>
    <w:rsid w:val="00F533F5"/>
    <w:rsid w:val="00F545DA"/>
    <w:rsid w:val="00F7315D"/>
    <w:rsid w:val="00FA27F8"/>
    <w:rsid w:val="00FA5715"/>
    <w:rsid w:val="00FA5DFD"/>
    <w:rsid w:val="00FB3E0E"/>
    <w:rsid w:val="00FE1EFF"/>
    <w:rsid w:val="00FF3D91"/>
    <w:rsid w:val="00FF470C"/>
    <w:rsid w:val="014B1682"/>
    <w:rsid w:val="04F2369E"/>
    <w:rsid w:val="0BE20D1C"/>
    <w:rsid w:val="0FFE672B"/>
    <w:rsid w:val="14F60C2B"/>
    <w:rsid w:val="17B93532"/>
    <w:rsid w:val="226A705B"/>
    <w:rsid w:val="24CC732E"/>
    <w:rsid w:val="273C25E0"/>
    <w:rsid w:val="296E0C3D"/>
    <w:rsid w:val="3B2A37DB"/>
    <w:rsid w:val="3F8EDCA9"/>
    <w:rsid w:val="3FFF4109"/>
    <w:rsid w:val="475269DC"/>
    <w:rsid w:val="488770BE"/>
    <w:rsid w:val="4E2941D0"/>
    <w:rsid w:val="53D5561A"/>
    <w:rsid w:val="5B38603C"/>
    <w:rsid w:val="5E9431D1"/>
    <w:rsid w:val="6E0F4FD0"/>
    <w:rsid w:val="733C1A55"/>
    <w:rsid w:val="76EB7086"/>
    <w:rsid w:val="79993315"/>
    <w:rsid w:val="9FFE5B97"/>
    <w:rsid w:val="B7EEED74"/>
    <w:rsid w:val="BFF60C53"/>
    <w:rsid w:val="E77FDB46"/>
    <w:rsid w:val="FCFDEA34"/>
    <w:rsid w:val="FDFB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spacing w:after="0" w:line="500" w:lineRule="exact"/>
      <w:ind w:firstLine="420"/>
    </w:pPr>
    <w:rPr>
      <w:rFonts w:ascii="宋体" w:hAnsi="宋体" w:cs="宋体"/>
      <w:sz w:val="28"/>
      <w:szCs w:val="32"/>
      <w:lang w:val="zh-CN" w:bidi="zh-CN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Date"/>
    <w:basedOn w:val="1"/>
    <w:next w:val="1"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rFonts w:ascii="等线" w:hAnsi="等线" w:eastAsia="等线" w:cs="Times New Roman"/>
      <w:b/>
    </w:rPr>
  </w:style>
  <w:style w:type="character" w:styleId="12">
    <w:name w:val="page number"/>
    <w:basedOn w:val="10"/>
    <w:uiPriority w:val="0"/>
  </w:style>
  <w:style w:type="character" w:styleId="13">
    <w:name w:val="Hyperlink"/>
    <w:basedOn w:val="10"/>
    <w:uiPriority w:val="0"/>
    <w:rPr>
      <w:color w:val="0000FF"/>
      <w:u w:val="single"/>
    </w:rPr>
  </w:style>
  <w:style w:type="character" w:customStyle="1" w:styleId="14">
    <w:name w:val="green121"/>
    <w:basedOn w:val="10"/>
    <w:uiPriority w:val="0"/>
    <w:rPr>
      <w:rFonts w:hint="default" w:ascii="ˎ̥" w:hAnsi="ˎ̥"/>
      <w:color w:val="0A5D21"/>
      <w:sz w:val="18"/>
      <w:szCs w:val="18"/>
      <w:u w:val="none"/>
    </w:rPr>
  </w:style>
  <w:style w:type="paragraph" w:customStyle="1" w:styleId="15">
    <w:name w:val="Char Char Char Char Char Char Char Char Char Char Char Char"/>
    <w:basedOn w:val="1"/>
    <w:uiPriority w:val="0"/>
    <w:pPr>
      <w:tabs>
        <w:tab w:val="left" w:pos="425"/>
      </w:tabs>
      <w:ind w:left="425" w:hanging="425"/>
    </w:pPr>
    <w:rPr>
      <w:rFonts w:eastAsia="仿宋_GB2312"/>
      <w:snapToGrid w:val="0"/>
      <w:kern w:val="24"/>
      <w:sz w:val="24"/>
      <w:szCs w:val="28"/>
    </w:rPr>
  </w:style>
  <w:style w:type="paragraph" w:customStyle="1" w:styleId="16">
    <w:name w:val="Char"/>
    <w:basedOn w:val="1"/>
    <w:uiPriority w:val="0"/>
    <w:pPr>
      <w:widowControl/>
      <w:spacing w:after="160" w:line="240" w:lineRule="exact"/>
      <w:jc w:val="left"/>
    </w:pPr>
    <w:rPr>
      <w:sz w:val="21"/>
      <w:szCs w:val="24"/>
    </w:rPr>
  </w:style>
  <w:style w:type="paragraph" w:customStyle="1" w:styleId="17">
    <w:name w:val="_Style 6"/>
    <w:basedOn w:val="1"/>
    <w:uiPriority w:val="0"/>
    <w:pPr>
      <w:widowControl/>
      <w:spacing w:after="160" w:line="240" w:lineRule="exact"/>
      <w:jc w:val="left"/>
    </w:pPr>
    <w:rPr>
      <w:sz w:val="21"/>
      <w:szCs w:val="24"/>
    </w:rPr>
  </w:style>
  <w:style w:type="paragraph" w:customStyle="1" w:styleId="18">
    <w:name w:val="p0"/>
    <w:basedOn w:val="1"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省农业厅</Company>
  <Pages>15</Pages>
  <Words>962</Words>
  <Characters>5489</Characters>
  <Lines>45</Lines>
  <Paragraphs>12</Paragraphs>
  <TotalTime>503</TotalTime>
  <ScaleCrop>false</ScaleCrop>
  <LinksUpToDate>false</LinksUpToDate>
  <CharactersWithSpaces>6439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2024-01-18T10:29:00Z</dcterms:created>
  <dc:creator>LHX</dc:creator>
  <cp:lastModifiedBy>PPAP</cp:lastModifiedBy>
  <cp:lastPrinted>2024-01-23T17:10:00Z</cp:lastPrinted>
  <dcterms:modified xsi:type="dcterms:W3CDTF">2024-04-18T08:57:06Z</dcterms:modified>
  <dc:title>一、该项目补助资金已由省财政厅以粤财农[2013]475号文下达给各有关财政局，各地要抓紧落实项目资金，加强管理，专款专用，严禁挤占、截留和挪用，确保资金资金使用安全。</dc:title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133DE5F7DE95420590A73AC81E967CB0</vt:lpwstr>
  </property>
  <property fmtid="{D5CDD505-2E9C-101B-9397-08002B2CF9AE}" pid="4" name="showFlag">
    <vt:bool>true</vt:bool>
  </property>
</Properties>
</file>