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textAlignment w:val="auto"/>
        <w:outlineLvl w:val="9"/>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附件</w:t>
      </w:r>
      <w:r>
        <w:rPr>
          <w:rFonts w:hint="eastAsia" w:ascii="黑体" w:hAnsi="黑体" w:eastAsia="黑体" w:cs="黑体"/>
          <w:color w:val="auto"/>
          <w:kern w:val="0"/>
          <w:sz w:val="32"/>
          <w:szCs w:val="32"/>
          <w:lang w:val="en-US" w:eastAsia="zh-CN"/>
        </w:rPr>
        <w:t>5</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color w:val="auto"/>
          <w:kern w:val="0"/>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color w:val="auto"/>
          <w:kern w:val="0"/>
          <w:sz w:val="44"/>
          <w:szCs w:val="44"/>
        </w:rPr>
      </w:pPr>
      <w:r>
        <w:rPr>
          <w:rFonts w:hint="eastAsia" w:ascii="方正小标宋简体" w:hAnsi="方正小标宋简体" w:eastAsia="方正小标宋简体" w:cs="方正小标宋简体"/>
          <w:color w:val="auto"/>
          <w:kern w:val="0"/>
          <w:sz w:val="44"/>
          <w:szCs w:val="44"/>
        </w:rPr>
        <w:t>知识产权海外保护能力提升项目申报指南</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color w:val="auto"/>
          <w:kern w:val="0"/>
          <w:sz w:val="44"/>
          <w:szCs w:val="44"/>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黑体" w:hAnsi="黑体" w:eastAsia="黑体" w:cs="黑体"/>
          <w:color w:val="auto"/>
          <w:kern w:val="0"/>
          <w:sz w:val="32"/>
          <w:szCs w:val="32"/>
          <w:lang w:eastAsia="zh-CN"/>
        </w:rPr>
      </w:pPr>
      <w:r>
        <w:rPr>
          <w:rFonts w:hint="eastAsia" w:ascii="黑体" w:hAnsi="黑体" w:eastAsia="黑体" w:cs="黑体"/>
          <w:color w:val="auto"/>
          <w:kern w:val="0"/>
          <w:sz w:val="32"/>
          <w:szCs w:val="32"/>
          <w:lang w:eastAsia="zh-CN"/>
        </w:rPr>
        <w:t>一、项目名称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知识产权海外保护能力提升项目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黑体" w:hAnsi="黑体" w:eastAsia="黑体" w:cs="黑体"/>
          <w:color w:val="auto"/>
          <w:kern w:val="0"/>
          <w:sz w:val="32"/>
          <w:szCs w:val="32"/>
          <w:lang w:val="en-US" w:eastAsia="zh-CN"/>
        </w:rPr>
      </w:pPr>
      <w:r>
        <w:rPr>
          <w:rFonts w:hint="eastAsia" w:ascii="黑体" w:hAnsi="黑体" w:eastAsia="黑体" w:cs="黑体"/>
          <w:color w:val="auto"/>
          <w:kern w:val="0"/>
          <w:sz w:val="32"/>
          <w:szCs w:val="32"/>
          <w:lang w:val="en-US" w:eastAsia="zh-CN"/>
        </w:rPr>
        <w:t>二、项目目标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jc w:val="both"/>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支持河源市内外贸一体化企业完善知识产权国际合规管理制度，开展出口产品知识产权风险排查预警、加强海外知识产权布局以及海外维权等工作。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黑体" w:hAnsi="黑体" w:eastAsia="黑体" w:cs="黑体"/>
          <w:color w:val="auto"/>
          <w:kern w:val="0"/>
          <w:sz w:val="32"/>
          <w:szCs w:val="32"/>
          <w:lang w:val="en-US" w:eastAsia="zh-CN"/>
        </w:rPr>
      </w:pPr>
      <w:r>
        <w:rPr>
          <w:rFonts w:hint="eastAsia" w:ascii="黑体" w:hAnsi="黑体" w:eastAsia="黑体" w:cs="黑体"/>
          <w:color w:val="auto"/>
          <w:kern w:val="0"/>
          <w:sz w:val="32"/>
          <w:szCs w:val="32"/>
          <w:lang w:val="en-US" w:eastAsia="zh-CN"/>
        </w:rPr>
        <w:t>三、项目任务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jc w:val="both"/>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（一）强化信息供给，向我市有关企业提供主要贸易对象国家和地区知识产权的法律法规、制度环境、实务指引、服务机构等基础信息。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jc w:val="both"/>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（二）协助辖区内4家以上内外贸一体化企业建立并完善知识产权国际合规管理制度。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jc w:val="both"/>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（三）协助有关企业建立并完善海外知识产权纠纷预警防范机制，及时发布国际知识产权发展动态和涉外应对跟踪，实时发布知识产权预警信息不少于1期。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jc w:val="both"/>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四）向我市“走出去”企业开展知识产权国际合规培训、海外知识产权保护专题培训各不少于1场次，开展海外知识产权纠纷应对指导，构建海外纠纷协调解决机制。开展企业出口产品知识产权风险预警分析不少于2家次，提升企业知识产权风险防控和涉外纠纷应对能力，帮助企业充分利用知识产权手段和策略参与国际竞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jc w:val="both"/>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（五）协助有关企业开展知识产权海外布局和维权援助工作，为中小企业“走出去”保驾护航。</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jc w:val="both"/>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六）协助我市企业开展国际展会参展产品知识产权风险排查工作，通过开展参展企业知识产权法律法规宣传、展前知识产权保护业务培训、座谈调研等方式，指导参展企业在展会期间严格遵守相关法律法规和知识产权纠纷处理规则，切实提高参展企业知识产权保护自律意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黑体" w:hAnsi="黑体" w:eastAsia="黑体"/>
          <w:sz w:val="32"/>
        </w:rPr>
      </w:pPr>
      <w:r>
        <w:rPr>
          <w:rFonts w:hint="eastAsia" w:eastAsia="黑体"/>
          <w:sz w:val="32"/>
        </w:rPr>
        <w:t>四、申报主体及条件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具有独立法人资格的、具备较强海外知识产权纠纷应对指导能力的知识产权服务机构、律师事务所、非营利性的社会团体及行业协会。</w:t>
      </w:r>
    </w:p>
    <w:p>
      <w:pPr>
        <w:spacing w:beforeLines="0" w:afterLines="0" w:line="600" w:lineRule="exact"/>
        <w:ind w:firstLine="640" w:firstLineChars="200"/>
        <w:rPr>
          <w:rFonts w:hint="eastAsia" w:ascii="黑体" w:hAnsi="黑体" w:eastAsia="黑体"/>
          <w:sz w:val="32"/>
        </w:rPr>
      </w:pPr>
      <w:r>
        <w:rPr>
          <w:rFonts w:hint="eastAsia" w:ascii="黑体" w:hAnsi="黑体" w:eastAsia="黑体"/>
          <w:sz w:val="32"/>
        </w:rPr>
        <w:t>五、申报材料</w:t>
      </w:r>
    </w:p>
    <w:p>
      <w:pPr>
        <w:spacing w:beforeLines="0" w:afterLines="0" w:line="600" w:lineRule="exact"/>
        <w:ind w:firstLine="640" w:firstLineChars="200"/>
        <w:rPr>
          <w:rFonts w:hint="eastAsia"/>
          <w:sz w:val="32"/>
        </w:rPr>
      </w:pPr>
      <w:r>
        <w:rPr>
          <w:rFonts w:hint="eastAsia" w:eastAsia="仿宋_GB2312"/>
          <w:sz w:val="32"/>
        </w:rPr>
        <w:t>（一）</w:t>
      </w:r>
      <w:r>
        <w:rPr>
          <w:rFonts w:hint="eastAsia" w:eastAsia="仿宋_GB2312"/>
          <w:color w:val="auto"/>
          <w:sz w:val="32"/>
        </w:rPr>
        <w:t>《</w:t>
      </w:r>
      <w:r>
        <w:rPr>
          <w:rFonts w:hint="eastAsia" w:ascii="仿宋_GB2312" w:hAnsi="仿宋_GB2312" w:eastAsia="仿宋_GB2312"/>
          <w:sz w:val="32"/>
        </w:rPr>
        <w:t>河源市202</w:t>
      </w:r>
      <w:r>
        <w:rPr>
          <w:rFonts w:hint="eastAsia" w:ascii="仿宋_GB2312" w:hAnsi="仿宋_GB2312" w:eastAsia="仿宋_GB2312"/>
          <w:sz w:val="32"/>
          <w:lang w:val="en-US" w:eastAsia="zh-CN"/>
        </w:rPr>
        <w:t>4</w:t>
      </w:r>
      <w:r>
        <w:rPr>
          <w:rFonts w:hint="eastAsia" w:ascii="仿宋_GB2312" w:hAnsi="仿宋_GB2312" w:eastAsia="仿宋_GB2312"/>
          <w:sz w:val="32"/>
        </w:rPr>
        <w:t>年省下放市县知识产权专项资金知识产权保护类项目申报书</w:t>
      </w:r>
      <w:r>
        <w:rPr>
          <w:rFonts w:hint="eastAsia" w:eastAsia="仿宋_GB2312"/>
          <w:color w:val="auto"/>
          <w:sz w:val="32"/>
        </w:rPr>
        <w:t>》</w:t>
      </w:r>
      <w:r>
        <w:rPr>
          <w:rFonts w:hint="eastAsia" w:eastAsia="仿宋_GB2312"/>
          <w:sz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（二）主体资格登记证书复印件</w:t>
      </w:r>
      <w:r>
        <w:rPr>
          <w:rFonts w:hint="eastAsia" w:ascii="仿宋_GB2312" w:hAnsi="仿宋_GB2312" w:eastAsia="仿宋_GB2312" w:cs="仿宋_GB2312"/>
          <w:sz w:val="32"/>
          <w:lang w:eastAsia="zh-CN"/>
        </w:rPr>
        <w:t>、银行开户许可证复印件；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（三）近两年的财务报表；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（四）申报条件要求的资质和经验证明材料；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五）其他证明申报单位优势的佐证材料；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（六）真实性承诺函。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上述材料均需加盖公章并在申报材料加盖骑缝章。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黑体" w:hAnsi="黑体" w:eastAsia="黑体" w:cs="黑体"/>
          <w:sz w:val="32"/>
          <w:lang w:eastAsia="zh-CN"/>
        </w:rPr>
      </w:pPr>
      <w:bookmarkStart w:id="0" w:name="_GoBack"/>
      <w:r>
        <w:rPr>
          <w:rFonts w:hint="eastAsia" w:ascii="黑体" w:hAnsi="黑体" w:eastAsia="黑体" w:cs="黑体"/>
          <w:sz w:val="32"/>
          <w:lang w:val="en-US" w:eastAsia="zh-CN"/>
        </w:rPr>
        <w:t>六、</w:t>
      </w:r>
      <w:r>
        <w:rPr>
          <w:rFonts w:hint="eastAsia" w:ascii="黑体" w:hAnsi="黑体" w:eastAsia="黑体" w:cs="黑体"/>
          <w:sz w:val="32"/>
          <w:lang w:eastAsia="zh-CN"/>
        </w:rPr>
        <w:t>实施周期及支持方式</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仿宋_GB2312" w:hAnsi="仿宋_GB2312" w:eastAsia="仿宋_GB2312" w:cs="仿宋_GB2312"/>
          <w:sz w:val="32"/>
          <w:lang w:val="en-US" w:eastAsia="zh-CN"/>
        </w:rPr>
      </w:pPr>
      <w:r>
        <w:rPr>
          <w:rFonts w:hint="eastAsia" w:ascii="仿宋_GB2312" w:hAnsi="仿宋_GB2312" w:eastAsia="仿宋_GB2312" w:cs="仿宋_GB2312"/>
          <w:sz w:val="32"/>
          <w:lang w:eastAsia="zh-CN"/>
        </w:rPr>
        <w:t>项目实施周期为一年，立项</w:t>
      </w:r>
      <w:r>
        <w:rPr>
          <w:rFonts w:hint="eastAsia" w:ascii="仿宋_GB2312" w:hAnsi="仿宋_GB2312" w:eastAsia="仿宋_GB2312" w:cs="仿宋_GB2312"/>
          <w:sz w:val="32"/>
          <w:lang w:val="en-US" w:eastAsia="zh-CN"/>
        </w:rPr>
        <w:t>1项，每项预计20万元。</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sz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xMDRkNWM5ZTY3ZDYxODY3ODIzZDI3ZmE2OWVjMTMifQ=="/>
  </w:docVars>
  <w:rsids>
    <w:rsidRoot w:val="4F755AE2"/>
    <w:rsid w:val="0FAF5705"/>
    <w:rsid w:val="2CEA6520"/>
    <w:rsid w:val="42E67B4D"/>
    <w:rsid w:val="4E8D0F61"/>
    <w:rsid w:val="4F755AE2"/>
    <w:rsid w:val="54112C2E"/>
    <w:rsid w:val="549424E4"/>
    <w:rsid w:val="64964C2A"/>
    <w:rsid w:val="682E7C97"/>
    <w:rsid w:val="6FB65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numPr>
        <w:ilvl w:val="0"/>
        <w:numId w:val="1"/>
      </w:numPr>
      <w:outlineLvl w:val="0"/>
    </w:pPr>
    <w:rPr>
      <w:rFonts w:ascii="Times New Roman" w:hAnsi="Times New Roman" w:eastAsia="黑体" w:cs="Times New Roman"/>
      <w:bCs/>
      <w:kern w:val="44"/>
      <w:sz w:val="30"/>
      <w:szCs w:val="4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799</Characters>
  <Lines>0</Lines>
  <Paragraphs>0</Paragraphs>
  <TotalTime>2</TotalTime>
  <ScaleCrop>false</ScaleCrop>
  <LinksUpToDate>false</LinksUpToDate>
  <CharactersWithSpaces>799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2022-09-13T03:17:00Z</dcterms:created>
  <dc:creator>逗逗奇迹柒七一</dc:creator>
  <cp:lastModifiedBy>叻叻</cp:lastModifiedBy>
  <dcterms:modified xsi:type="dcterms:W3CDTF">2024-01-23T08:24:21Z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61478F98BFA741719A789B57F798A69F</vt:lpwstr>
  </property>
</Properties>
</file>