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600" w:lineRule="exact"/>
        <w:ind w:right="0" w:rightChars="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附件</w:t>
      </w:r>
      <w:r>
        <w:rPr>
          <w:rFonts w:hint="eastAsia" w:ascii="黑体" w:hAnsi="黑体" w:eastAsia="黑体" w:cs="黑体"/>
          <w:b w:val="0"/>
          <w:bCs w:val="0"/>
          <w:sz w:val="32"/>
          <w:szCs w:val="32"/>
          <w:lang w:val="en-US" w:eastAsia="zh-CN"/>
        </w:rPr>
        <w:t>4</w:t>
      </w:r>
    </w:p>
    <w:p>
      <w:pPr>
        <w:keepNext w:val="0"/>
        <w:keepLines w:val="0"/>
        <w:pageBreakBefore w:val="0"/>
        <w:widowControl w:val="0"/>
        <w:kinsoku/>
        <w:wordWrap/>
        <w:overflowPunct/>
        <w:topLinePunct w:val="0"/>
        <w:autoSpaceDE/>
        <w:autoSpaceDN/>
        <w:bidi w:val="0"/>
        <w:spacing w:line="600" w:lineRule="exact"/>
        <w:ind w:right="0" w:rightChars="0"/>
        <w:textAlignment w:val="auto"/>
        <w:rPr>
          <w:rFonts w:hint="eastAsia" w:ascii="黑体" w:hAnsi="黑体" w:eastAsia="黑体" w:cs="黑体"/>
          <w:b w:val="0"/>
          <w:bCs w:val="0"/>
          <w:sz w:val="32"/>
          <w:szCs w:val="32"/>
        </w:rPr>
      </w:pPr>
    </w:p>
    <w:p>
      <w:pPr>
        <w:keepNext w:val="0"/>
        <w:keepLines w:val="0"/>
        <w:pageBreakBefore w:val="0"/>
        <w:widowControl w:val="0"/>
        <w:kinsoku/>
        <w:wordWrap/>
        <w:overflowPunct/>
        <w:topLinePunct w:val="0"/>
        <w:autoSpaceDE/>
        <w:autoSpaceDN/>
        <w:bidi w:val="0"/>
        <w:spacing w:line="600" w:lineRule="exact"/>
        <w:ind w:right="0" w:rightChars="0"/>
        <w:jc w:val="center"/>
        <w:textAlignment w:val="auto"/>
        <w:rPr>
          <w:rFonts w:hint="eastAsia" w:ascii="方正小标宋简体" w:hAnsi="方正小标宋简体" w:eastAsia="方正小标宋简体" w:cs="方正小标宋简体"/>
          <w:b w:val="0"/>
          <w:bCs w:val="0"/>
          <w:spacing w:val="-11"/>
          <w:sz w:val="44"/>
          <w:szCs w:val="44"/>
          <w:lang w:val="en-US" w:eastAsia="zh-CN"/>
        </w:rPr>
      </w:pPr>
      <w:r>
        <w:rPr>
          <w:rFonts w:hint="eastAsia" w:ascii="方正小标宋简体" w:hAnsi="方正小标宋简体" w:eastAsia="方正小标宋简体" w:cs="方正小标宋简体"/>
          <w:b w:val="0"/>
          <w:bCs w:val="0"/>
          <w:spacing w:val="-11"/>
          <w:sz w:val="44"/>
          <w:szCs w:val="44"/>
        </w:rPr>
        <w:t>重点专业市场知识产权保护</w:t>
      </w:r>
      <w:r>
        <w:rPr>
          <w:rFonts w:hint="eastAsia" w:ascii="方正小标宋简体" w:hAnsi="方正小标宋简体" w:eastAsia="方正小标宋简体" w:cs="方正小标宋简体"/>
          <w:b w:val="0"/>
          <w:bCs w:val="0"/>
          <w:spacing w:val="-11"/>
          <w:sz w:val="44"/>
          <w:szCs w:val="44"/>
          <w:lang w:eastAsia="zh-CN"/>
        </w:rPr>
        <w:t>项目申报指南</w:t>
      </w: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黑体" w:hAnsi="黑体" w:eastAsia="黑体" w:cs="黑体"/>
          <w:b w:val="0"/>
          <w:bCs w:val="0"/>
          <w:sz w:val="32"/>
          <w:szCs w:val="32"/>
        </w:rPr>
      </w:pP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一、项目名称</w:t>
      </w: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重点专业市场知识产权保护项目</w:t>
      </w: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二、项目目标</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建立健全专业市场知识产权纠纷快速处理机制等保护工作机制，加强专业市场知识产权保护；培育建设知识产权保护规范化市场。</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三、项目任务</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借鉴先进地区知识产权保护经验做法，结合我市重点专业市场知识产权保护实际与需求，完善重点专业市场知识产权纠纷快速处理机制等保护工作机制建设，在重点专业市场推广知识产权纠纷快速处理机制。</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（二）举办不少于1次宣贯《商品交易市场知识产权保护规范》的专题培训，切实提升市场管理者和商户的知识产权保护意识及处置知识产权纠纷的能力。</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（三）协助市场监管部门对我市重点专业市场开展知识产权保护专项行动，协助市场管理者对商品进行知识产权侵权假冒风险排查和整改。</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（四）协助市场监管部门培育我市知识产权保护规范化市场不少于</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个，协助市场开办方</w:t>
      </w:r>
      <w:r>
        <w:rPr>
          <w:rFonts w:hint="eastAsia" w:ascii="仿宋_GB2312" w:hAnsi="仿宋_GB2312" w:eastAsia="仿宋_GB2312" w:cs="仿宋_GB2312"/>
          <w:b w:val="0"/>
          <w:bCs w:val="0"/>
          <w:sz w:val="32"/>
          <w:szCs w:val="32"/>
          <w:lang w:val="en-US" w:eastAsia="zh-CN"/>
        </w:rPr>
        <w:t>制定知识产权保护规范化市场培育工作方案，健全知识产权保护和纠纷处理工作机制，按照上级主管部门有关要求准备知识产权保护规范化市场培育对象申报材料并适时提交申请</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四、申报条件</w:t>
      </w:r>
    </w:p>
    <w:p>
      <w:pPr>
        <w:pStyle w:val="3"/>
        <w:keepNext w:val="0"/>
        <w:keepLines w:val="0"/>
        <w:pageBreakBefore w:val="0"/>
        <w:widowControl w:val="0"/>
        <w:kinsoku/>
        <w:wordWrap/>
        <w:overflowPunct/>
        <w:topLinePunct w:val="0"/>
        <w:autoSpaceDE/>
        <w:autoSpaceDN/>
        <w:bidi w:val="0"/>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 xml:space="preserve"> 具有独立法人资格的知识产权服务机构、非营利性的社会团体及行业协会、企事业单位，具备充足的专家团队以及开展重点专业市场知识产权保护、培育知识产权保护规范化市场</w:t>
      </w:r>
      <w:bookmarkStart w:id="0" w:name="_GoBack"/>
      <w:bookmarkEnd w:id="0"/>
      <w:r>
        <w:rPr>
          <w:rFonts w:hint="eastAsia" w:ascii="仿宋_GB2312" w:hAnsi="仿宋_GB2312" w:eastAsia="仿宋_GB2312" w:cs="仿宋_GB2312"/>
          <w:color w:val="auto"/>
          <w:sz w:val="32"/>
          <w:szCs w:val="32"/>
          <w:lang w:val="en-US" w:eastAsia="zh-CN"/>
        </w:rPr>
        <w:t>工作的相关经验。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五、申报材料</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（一）《河源市202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年省下放市县知识产权专项资金知识产权保护类项目申报书》；</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（二）主体资格登记证书复印件、银行开户许可证复印件；</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（三）近两年的财务报表；</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（四）申报条件要求的资质和经验证明材料；</w:t>
      </w:r>
    </w:p>
    <w:p>
      <w:pPr>
        <w:pStyle w:val="2"/>
        <w:numPr>
          <w:ilvl w:val="-1"/>
          <w:numId w:val="0"/>
        </w:numPr>
        <w:spacing w:beforeLines="0" w:afterLines="-2147483648" w:line="600" w:lineRule="exact"/>
        <w:ind w:firstLine="640" w:firstLineChars="200"/>
        <w:rPr>
          <w:rFonts w:hint="eastAsia" w:ascii="仿宋_GB2312" w:hAnsi="仿宋_GB2312" w:eastAsia="仿宋_GB2312" w:cs="仿宋_GB2312"/>
          <w:kern w:val="2"/>
          <w:sz w:val="32"/>
          <w:szCs w:val="32"/>
          <w:lang w:val="en-US" w:eastAsia="zh-CN"/>
        </w:rPr>
      </w:pPr>
      <w:r>
        <w:rPr>
          <w:rFonts w:hint="eastAsia" w:eastAsia="仿宋_GB2312"/>
          <w:kern w:val="2"/>
          <w:sz w:val="32"/>
          <w:szCs w:val="32"/>
          <w:lang w:eastAsia="zh-CN"/>
        </w:rPr>
        <w:t>（</w:t>
      </w:r>
      <w:r>
        <w:rPr>
          <w:rFonts w:hint="eastAsia" w:ascii="仿宋_GB2312" w:hAnsi="仿宋_GB2312" w:eastAsia="仿宋_GB2312" w:cs="仿宋_GB2312"/>
          <w:kern w:val="2"/>
          <w:sz w:val="32"/>
          <w:szCs w:val="32"/>
          <w:lang w:val="en-US" w:eastAsia="zh-CN"/>
        </w:rPr>
        <w:t>五）其他证明申报单位优势的佐证材料；</w:t>
      </w:r>
    </w:p>
    <w:p>
      <w:pPr>
        <w:pStyle w:val="2"/>
        <w:keepNext w:val="0"/>
        <w:keepLines w:val="0"/>
        <w:pageBreakBefore w:val="0"/>
        <w:widowControl w:val="0"/>
        <w:numPr>
          <w:ilvl w:val="0"/>
          <w:numId w:val="0"/>
        </w:numPr>
        <w:tabs>
          <w:tab w:val="clear" w:pos="420"/>
        </w:tabs>
        <w:kinsoku/>
        <w:wordWrap/>
        <w:overflowPunct/>
        <w:topLinePunct w:val="0"/>
        <w:autoSpaceDE/>
        <w:autoSpaceDN/>
        <w:bidi w:val="0"/>
        <w:spacing w:beforeLines="0" w:afterLines="0"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w:t>
      </w:r>
      <w:r>
        <w:rPr>
          <w:rFonts w:hint="eastAsia" w:eastAsia="仿宋_GB2312"/>
          <w:kern w:val="2"/>
          <w:sz w:val="32"/>
          <w:szCs w:val="32"/>
        </w:rPr>
        <w:t>真实性承诺函</w:t>
      </w:r>
      <w:r>
        <w:rPr>
          <w:rFonts w:hint="eastAsia" w:eastAsia="仿宋_GB2312"/>
          <w:kern w:val="2"/>
          <w:sz w:val="32"/>
          <w:szCs w:val="32"/>
          <w:lang w:eastAsia="zh-CN"/>
        </w:rPr>
        <w:t>。</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上述材料均需加盖公章并在申报材料加盖骑缝章。</w:t>
      </w:r>
    </w:p>
    <w:p>
      <w:pPr>
        <w:numPr>
          <w:ilvl w:val="0"/>
          <w:numId w:val="0"/>
        </w:numPr>
        <w:spacing w:beforeLines="0" w:afterLines="0" w:line="600" w:lineRule="exact"/>
        <w:ind w:firstLine="640" w:firstLineChars="200"/>
        <w:rPr>
          <w:rFonts w:hint="eastAsia" w:ascii="黑体" w:hAnsi="黑体" w:eastAsia="黑体" w:cs="黑体"/>
          <w:kern w:val="2"/>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kern w:val="2"/>
          <w:sz w:val="32"/>
          <w:szCs w:val="32"/>
          <w:lang w:eastAsia="zh-CN"/>
        </w:rPr>
        <w:t>实施周期及支持方式</w:t>
      </w:r>
    </w:p>
    <w:p>
      <w:pPr>
        <w:numPr>
          <w:ilvl w:val="-1"/>
          <w:numId w:val="0"/>
        </w:numPr>
        <w:spacing w:beforeLines="0" w:afterLines="0" w:line="600" w:lineRule="exact"/>
        <w:ind w:firstLine="640" w:firstLineChars="200"/>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CN"/>
        </w:rPr>
        <w:t>项目实施周期为一年，立项</w:t>
      </w:r>
      <w:r>
        <w:rPr>
          <w:rFonts w:hint="eastAsia" w:ascii="仿宋_GB2312" w:hAnsi="仿宋_GB2312" w:eastAsia="仿宋_GB2312" w:cs="仿宋_GB2312"/>
          <w:kern w:val="2"/>
          <w:sz w:val="32"/>
          <w:szCs w:val="32"/>
          <w:lang w:val="en-US" w:eastAsia="zh-CN"/>
        </w:rPr>
        <w:t>1项，每项预计15万元。</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00000000"/>
    <w:rsid w:val="0109767C"/>
    <w:rsid w:val="1496547C"/>
    <w:rsid w:val="28210AF4"/>
    <w:rsid w:val="2E991089"/>
    <w:rsid w:val="357839F4"/>
    <w:rsid w:val="42621D79"/>
    <w:rsid w:val="45052663"/>
    <w:rsid w:val="47A17264"/>
    <w:rsid w:val="4AC3365A"/>
    <w:rsid w:val="5B9C7471"/>
    <w:rsid w:val="5D6F1237"/>
    <w:rsid w:val="5DFA30D4"/>
    <w:rsid w:val="61243337"/>
    <w:rsid w:val="61B158F0"/>
    <w:rsid w:val="648A26DB"/>
    <w:rsid w:val="68B0166E"/>
    <w:rsid w:val="7EB31E90"/>
    <w:rsid w:val="7F4A3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outlineLvl w:val="0"/>
    </w:pPr>
    <w:rPr>
      <w:rFonts w:eastAsia="黑体"/>
      <w:bCs/>
      <w:kern w:val="44"/>
      <w:sz w:val="30"/>
      <w:szCs w:val="4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adjustRightInd w:val="0"/>
      <w:spacing w:line="360" w:lineRule="auto"/>
      <w:ind w:firstLine="420"/>
      <w:textAlignment w:val="baseline"/>
    </w:pPr>
    <w:rPr>
      <w:rFonts w:ascii="Calibri" w:hAnsi="Calibri" w:eastAsia="宋体"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2023-11-27T09:24:00Z</dcterms:created>
  <dc:creator>Administrator</dc:creator>
  <cp:lastModifiedBy>陈明</cp:lastModifiedBy>
  <dcterms:modified xsi:type="dcterms:W3CDTF">2024-01-23T02:42:30Z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39AFE4F8507F4634B511F335B6167BED</vt:lpwstr>
  </property>
</Properties>
</file>