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ageBreakBefore w:val="0"/>
        <w:numPr>
          <w:ilvl w:val="0"/>
          <w:numId w:val="0"/>
        </w:numPr>
        <w:kinsoku/>
        <w:wordWrap/>
        <w:overflowPunct/>
        <w:topLinePunct w:val="0"/>
        <w:autoSpaceDE/>
        <w:autoSpaceDN/>
        <w:bidi w:val="0"/>
        <w:spacing w:before="0" w:beforeLines="0" w:beforeAutospacing="0" w:after="0" w:afterLines="0" w:afterAutospacing="0" w:line="600" w:lineRule="exact"/>
        <w:ind w:left="0" w:firstLine="0"/>
        <w:jc w:val="both"/>
        <w:textAlignment w:val="auto"/>
        <w:rPr>
          <w:rFonts w:hint="eastAsia" w:ascii="黑体" w:hAnsi="黑体" w:eastAsia="黑体" w:cs="黑体"/>
          <w:snapToGrid w:val="0"/>
          <w:kern w:val="0"/>
          <w:sz w:val="32"/>
          <w:szCs w:val="32"/>
          <w:lang w:val="en-US" w:eastAsia="zh-CN"/>
        </w:rPr>
      </w:pPr>
      <w:r>
        <w:rPr>
          <w:rFonts w:hint="eastAsia" w:ascii="黑体" w:hAnsi="黑体" w:eastAsia="黑体" w:cs="黑体"/>
          <w:snapToGrid w:val="0"/>
          <w:kern w:val="0"/>
          <w:sz w:val="32"/>
          <w:szCs w:val="32"/>
          <w:lang w:eastAsia="zh-CN"/>
        </w:rPr>
        <w:t>附件</w:t>
      </w:r>
      <w:r>
        <w:rPr>
          <w:rFonts w:hint="eastAsia" w:ascii="黑体" w:hAnsi="黑体" w:eastAsia="黑体" w:cs="黑体"/>
          <w:snapToGrid w:val="0"/>
          <w:kern w:val="0"/>
          <w:sz w:val="32"/>
          <w:szCs w:val="32"/>
          <w:lang w:val="en-US" w:eastAsia="zh-CN"/>
        </w:rPr>
        <w:t>2</w:t>
      </w:r>
    </w:p>
    <w:p>
      <w:pPr>
        <w:pStyle w:val="6"/>
        <w:pageBreakBefore w:val="0"/>
        <w:numPr>
          <w:ilvl w:val="0"/>
          <w:numId w:val="0"/>
        </w:numPr>
        <w:kinsoku/>
        <w:wordWrap/>
        <w:overflowPunct/>
        <w:topLinePunct w:val="0"/>
        <w:autoSpaceDE/>
        <w:autoSpaceDN/>
        <w:bidi w:val="0"/>
        <w:spacing w:before="0" w:beforeLines="0" w:beforeAutospacing="0" w:after="0" w:afterLines="0" w:afterAutospacing="0" w:line="600" w:lineRule="exact"/>
        <w:ind w:left="0" w:firstLine="0"/>
        <w:textAlignment w:val="auto"/>
        <w:rPr>
          <w:rFonts w:hint="eastAsia" w:ascii="方正小标宋简体" w:hAnsi="方正小标宋简体" w:eastAsia="方正小标宋简体" w:cs="方正小标宋简体"/>
          <w:snapToGrid w:val="0"/>
          <w:kern w:val="0"/>
          <w:sz w:val="44"/>
          <w:szCs w:val="44"/>
        </w:rPr>
      </w:pPr>
    </w:p>
    <w:p>
      <w:pPr>
        <w:pStyle w:val="6"/>
        <w:pageBreakBefore w:val="0"/>
        <w:numPr>
          <w:ilvl w:val="0"/>
          <w:numId w:val="0"/>
        </w:numPr>
        <w:kinsoku/>
        <w:wordWrap/>
        <w:overflowPunct/>
        <w:topLinePunct w:val="0"/>
        <w:autoSpaceDE/>
        <w:autoSpaceDN/>
        <w:bidi w:val="0"/>
        <w:spacing w:before="0" w:beforeLines="0" w:beforeAutospacing="0" w:after="0" w:afterLines="0" w:afterAutospacing="0" w:line="600" w:lineRule="exact"/>
        <w:ind w:left="0" w:firstLine="0"/>
        <w:textAlignment w:val="auto"/>
        <w:rPr>
          <w:rFonts w:hint="eastAsia" w:ascii="方正小标宋简体" w:hAnsi="方正小标宋简体" w:eastAsia="方正小标宋简体" w:cs="方正小标宋简体"/>
          <w:color w:val="auto"/>
          <w:kern w:val="44"/>
          <w:sz w:val="44"/>
          <w:szCs w:val="44"/>
          <w:shd w:val="clear" w:color="auto" w:fill="FFFFFF"/>
        </w:rPr>
      </w:pPr>
      <w:r>
        <w:rPr>
          <w:rFonts w:hint="eastAsia" w:ascii="方正小标宋简体" w:hAnsi="方正小标宋简体" w:eastAsia="方正小标宋简体" w:cs="方正小标宋简体"/>
          <w:snapToGrid w:val="0"/>
          <w:kern w:val="0"/>
          <w:sz w:val="44"/>
          <w:szCs w:val="44"/>
        </w:rPr>
        <w:t>知识产权纠纷行政裁决</w:t>
      </w:r>
      <w:r>
        <w:rPr>
          <w:rFonts w:hint="eastAsia" w:ascii="方正小标宋简体" w:hAnsi="方正小标宋简体" w:eastAsia="方正小标宋简体" w:cs="方正小标宋简体"/>
          <w:snapToGrid w:val="0"/>
          <w:kern w:val="0"/>
          <w:sz w:val="44"/>
          <w:szCs w:val="44"/>
          <w:lang w:eastAsia="zh-CN"/>
        </w:rPr>
        <w:t>效能</w:t>
      </w:r>
      <w:r>
        <w:rPr>
          <w:rFonts w:hint="eastAsia" w:ascii="方正小标宋简体" w:hAnsi="方正小标宋简体" w:eastAsia="方正小标宋简体" w:cs="方正小标宋简体"/>
          <w:snapToGrid w:val="0"/>
          <w:kern w:val="0"/>
          <w:sz w:val="44"/>
          <w:szCs w:val="44"/>
        </w:rPr>
        <w:t>提升</w:t>
      </w:r>
      <w:r>
        <w:rPr>
          <w:rFonts w:hint="eastAsia" w:ascii="方正小标宋简体" w:hAnsi="方正小标宋简体" w:eastAsia="方正小标宋简体" w:cs="方正小标宋简体"/>
          <w:color w:val="auto"/>
          <w:kern w:val="44"/>
          <w:sz w:val="44"/>
          <w:szCs w:val="44"/>
          <w:shd w:val="clear" w:color="auto" w:fill="FFFFFF"/>
        </w:rPr>
        <w:t>项目</w:t>
      </w:r>
    </w:p>
    <w:p>
      <w:pPr>
        <w:pStyle w:val="6"/>
        <w:pageBreakBefore w:val="0"/>
        <w:numPr>
          <w:ilvl w:val="0"/>
          <w:numId w:val="0"/>
        </w:numPr>
        <w:kinsoku/>
        <w:wordWrap/>
        <w:overflowPunct/>
        <w:topLinePunct w:val="0"/>
        <w:autoSpaceDE/>
        <w:autoSpaceDN/>
        <w:bidi w:val="0"/>
        <w:spacing w:before="0" w:beforeLines="0" w:beforeAutospacing="0" w:after="0" w:afterLines="0" w:afterAutospacing="0" w:line="600" w:lineRule="exact"/>
        <w:ind w:left="0" w:firstLine="0"/>
        <w:textAlignment w:val="auto"/>
        <w:rPr>
          <w:rFonts w:hint="eastAsia" w:ascii="方正小标宋简体" w:hAnsi="方正小标宋简体" w:eastAsia="方正小标宋简体" w:cs="方正小标宋简体"/>
          <w:color w:val="auto"/>
          <w:kern w:val="44"/>
          <w:sz w:val="44"/>
          <w:szCs w:val="44"/>
          <w:shd w:val="clear" w:color="auto" w:fill="FFFFFF"/>
        </w:rPr>
      </w:pPr>
      <w:r>
        <w:rPr>
          <w:rFonts w:hint="eastAsia" w:ascii="方正小标宋简体" w:hAnsi="方正小标宋简体" w:eastAsia="方正小标宋简体" w:cs="方正小标宋简体"/>
          <w:color w:val="auto"/>
          <w:kern w:val="44"/>
          <w:sz w:val="44"/>
          <w:szCs w:val="44"/>
          <w:shd w:val="clear" w:color="auto" w:fill="FFFFFF"/>
        </w:rPr>
        <w:t>申报指南</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left"/>
        <w:textAlignment w:val="auto"/>
        <w:rPr>
          <w:rFonts w:hint="eastAsia" w:ascii="方正小标宋简体" w:hAnsi="方正小标宋简体" w:eastAsia="方正小标宋简体" w:cs="方正小标宋简体"/>
          <w:snapToGrid w:val="0"/>
          <w:kern w:val="0"/>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napToGrid w:val="0"/>
          <w:kern w:val="0"/>
          <w:sz w:val="32"/>
          <w:szCs w:val="32"/>
          <w:lang w:eastAsia="zh-CN"/>
        </w:rPr>
      </w:pPr>
      <w:r>
        <w:rPr>
          <w:rFonts w:hint="eastAsia" w:ascii="黑体" w:hAnsi="黑体" w:eastAsia="黑体" w:cs="黑体"/>
          <w:b w:val="0"/>
          <w:bCs w:val="0"/>
          <w:snapToGrid w:val="0"/>
          <w:kern w:val="0"/>
          <w:sz w:val="32"/>
          <w:szCs w:val="32"/>
          <w:lang w:eastAsia="zh-CN"/>
        </w:rPr>
        <w:t>一、项目名称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知识产权纠纷行政裁决效能提升项目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二、项目目标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推动专利侵权纠纷行政裁决与市场监管综合行政执法融合，加强知识产权行政裁决队伍专业化、职业化建设，加大专利侵权纠纷行政裁决力度，提升行政裁决效能。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napToGrid w:val="0"/>
          <w:kern w:val="0"/>
          <w:sz w:val="32"/>
          <w:szCs w:val="32"/>
          <w:lang w:eastAsia="zh-CN"/>
        </w:rPr>
      </w:pPr>
      <w:r>
        <w:rPr>
          <w:rFonts w:hint="eastAsia" w:ascii="黑体" w:hAnsi="黑体" w:eastAsia="黑体" w:cs="黑体"/>
          <w:b w:val="0"/>
          <w:bCs w:val="0"/>
          <w:snapToGrid w:val="0"/>
          <w:kern w:val="0"/>
          <w:sz w:val="32"/>
          <w:szCs w:val="32"/>
          <w:lang w:eastAsia="zh-CN"/>
        </w:rPr>
        <w:t>三、项目任务</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（一）协助我市知识产权行政管理部门加强专利侵权纠纷行政裁决工作宣传，提升社会公众及创新主体利用行政裁决途径快速解决专利侵权纠纷的意识。</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（二）根据我市知识产权行政管理部门工作需求，组织举办专利侵权纠纷行政裁决培训班不少于1场次，有效提升行政管理人员的行政裁决能力和水平。</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（三）协助我市知识产权行政管理部门持续完善我市专利侵权纠纷行政裁决工作机制，细化取证、固证等证据规则和技术调查、检验鉴定等举措。</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（四）协助我市知识产权行政管理部门组织前往专利侵权纠纷行政裁决工作先进地区开展办案经验交流活动不少于</w:t>
      </w:r>
      <w:r>
        <w:rPr>
          <w:rFonts w:hint="eastAsia" w:ascii="仿宋_GB2312" w:hAnsi="仿宋_GB2312" w:eastAsia="仿宋_GB2312" w:cs="仿宋_GB2312"/>
          <w:sz w:val="32"/>
          <w:szCs w:val="32"/>
          <w:lang w:val="en-US" w:eastAsia="zh-CN"/>
        </w:rPr>
        <w:t>1次。</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（五）根据我市知识产权行政管理部门工作需要，为专利侵权判定提供技术咨询服务。</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（六）了解并收集企业专利侵权纠纷相关诉求，搭建知识产权行政管理部门与企业之间的法律咨询服务桥梁</w:t>
      </w:r>
      <w:r>
        <w:rPr>
          <w:rFonts w:hint="eastAsia" w:ascii="仿宋_GB2312" w:hAnsi="仿宋_GB2312" w:eastAsia="仿宋_GB2312" w:cs="仿宋_GB2312"/>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四、申报条件</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eastAsia="zh-CN"/>
        </w:rPr>
        <w:t>具有独立法人资格的知识产权服务机构、非营利性的社会团体及行业协会、企事业单位，具备提供专利侵权判定技术咨询服务以及邀请知名专利侵权纠纷行政裁决专家开展培训业务的能力。</w:t>
      </w:r>
    </w:p>
    <w:bookmarkEnd w:id="0"/>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五、申报材料</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（一）《河源市202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年省下放市县知识产权专项资金知识产权保护类项目申报书》；</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（二）主体资格登记证书复印件、银行开户许可证复印件；</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（三）近两年的财务报表；</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（四）申报条件要求的资质和经验证明材料；</w:t>
      </w:r>
    </w:p>
    <w:p>
      <w:pPr>
        <w:pStyle w:val="2"/>
        <w:numPr>
          <w:ilvl w:val="-1"/>
          <w:numId w:val="0"/>
        </w:numPr>
        <w:spacing w:beforeLines="0" w:afterLines="-2147483648" w:line="600" w:lineRule="exact"/>
        <w:ind w:firstLine="640" w:firstLineChars="200"/>
        <w:rPr>
          <w:rFonts w:hint="eastAsia" w:ascii="仿宋_GB2312" w:hAnsi="仿宋_GB2312" w:eastAsia="仿宋_GB2312" w:cs="仿宋_GB2312"/>
          <w:kern w:val="2"/>
          <w:sz w:val="32"/>
          <w:szCs w:val="32"/>
          <w:lang w:val="en-US" w:eastAsia="zh-CN"/>
        </w:rPr>
      </w:pPr>
      <w:r>
        <w:rPr>
          <w:rFonts w:hint="eastAsia" w:eastAsia="仿宋_GB2312"/>
          <w:kern w:val="2"/>
          <w:sz w:val="32"/>
          <w:szCs w:val="32"/>
          <w:lang w:eastAsia="zh-CN"/>
        </w:rPr>
        <w:t>（</w:t>
      </w:r>
      <w:r>
        <w:rPr>
          <w:rFonts w:hint="eastAsia" w:ascii="仿宋_GB2312" w:hAnsi="仿宋_GB2312" w:eastAsia="仿宋_GB2312" w:cs="仿宋_GB2312"/>
          <w:kern w:val="2"/>
          <w:sz w:val="32"/>
          <w:szCs w:val="32"/>
          <w:lang w:val="en-US" w:eastAsia="zh-CN"/>
        </w:rPr>
        <w:t>五）其他证明申报单位优势的佐证材料；</w:t>
      </w:r>
    </w:p>
    <w:p>
      <w:pPr>
        <w:pStyle w:val="2"/>
        <w:numPr>
          <w:ilvl w:val="0"/>
          <w:numId w:val="0"/>
        </w:numPr>
        <w:tabs>
          <w:tab w:val="clear" w:pos="420"/>
        </w:tabs>
        <w:spacing w:beforeLines="0" w:afterLines="0" w:line="600" w:lineRule="exact"/>
        <w:ind w:firstLine="640" w:firstLineChars="200"/>
        <w:rPr>
          <w:rFonts w:hint="default" w:eastAsiaTheme="minorEastAsia"/>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w:t>
      </w:r>
      <w:r>
        <w:rPr>
          <w:rFonts w:hint="eastAsia" w:eastAsia="仿宋_GB2312"/>
          <w:kern w:val="2"/>
          <w:sz w:val="32"/>
          <w:szCs w:val="32"/>
        </w:rPr>
        <w:t>真实性承诺函</w:t>
      </w:r>
      <w:r>
        <w:rPr>
          <w:rFonts w:hint="eastAsia" w:eastAsia="仿宋_GB2312"/>
          <w:kern w:val="2"/>
          <w:sz w:val="32"/>
          <w:szCs w:val="32"/>
          <w:lang w:eastAsia="zh-CN"/>
        </w:rPr>
        <w:t>。</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上述材料均需加盖公章并在申报材料加盖骑缝章。</w:t>
      </w:r>
    </w:p>
    <w:p>
      <w:pPr>
        <w:numPr>
          <w:ilvl w:val="0"/>
          <w:numId w:val="0"/>
        </w:numPr>
        <w:spacing w:beforeLines="0" w:afterLines="0" w:line="600" w:lineRule="exact"/>
        <w:ind w:firstLine="640" w:firstLineChars="200"/>
        <w:rPr>
          <w:rFonts w:hint="eastAsia" w:ascii="黑体" w:hAnsi="黑体" w:eastAsia="黑体" w:cs="黑体"/>
          <w:kern w:val="2"/>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kern w:val="2"/>
          <w:sz w:val="32"/>
          <w:szCs w:val="32"/>
          <w:lang w:eastAsia="zh-CN"/>
        </w:rPr>
        <w:t>实施周期及支持方式</w:t>
      </w:r>
    </w:p>
    <w:p>
      <w:pPr>
        <w:numPr>
          <w:ilvl w:val="-1"/>
          <w:numId w:val="0"/>
        </w:numPr>
        <w:spacing w:beforeLines="0" w:afterLines="0" w:line="600" w:lineRule="exact"/>
        <w:ind w:firstLine="640" w:firstLineChars="200"/>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CN"/>
        </w:rPr>
        <w:t>项目实施周期为一年，立项</w:t>
      </w:r>
      <w:r>
        <w:rPr>
          <w:rFonts w:hint="eastAsia" w:ascii="仿宋_GB2312" w:hAnsi="仿宋_GB2312" w:eastAsia="仿宋_GB2312" w:cs="仿宋_GB2312"/>
          <w:kern w:val="2"/>
          <w:sz w:val="32"/>
          <w:szCs w:val="32"/>
          <w:lang w:val="en-US" w:eastAsia="zh-CN"/>
        </w:rPr>
        <w:t>1项，每项预计20万元。</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58964188"/>
    <w:rsid w:val="0588057C"/>
    <w:rsid w:val="0E5276D3"/>
    <w:rsid w:val="0FDF4A0C"/>
    <w:rsid w:val="147F3BAB"/>
    <w:rsid w:val="41A0123F"/>
    <w:rsid w:val="4F900E60"/>
    <w:rsid w:val="55ED2F1E"/>
    <w:rsid w:val="58143782"/>
    <w:rsid w:val="5896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6">
    <w:name w:val="样式1"/>
    <w:basedOn w:val="2"/>
    <w:autoRedefine/>
    <w:unhideWhenUsed/>
    <w:qFormat/>
    <w:uiPriority w:val="0"/>
    <w:pPr>
      <w:widowControl/>
      <w:adjustRightInd w:val="0"/>
      <w:snapToGrid w:val="0"/>
      <w:spacing w:before="100" w:beforeLines="0" w:beforeAutospacing="1" w:after="100" w:afterLines="0" w:afterAutospacing="1" w:line="640" w:lineRule="exact"/>
      <w:jc w:val="center"/>
    </w:pPr>
    <w:rPr>
      <w:rFonts w:hint="eastAsia" w:ascii="小标宋" w:eastAsia="小标宋"/>
      <w:color w:val="000000"/>
      <w:kern w:val="0"/>
      <w:sz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河源市市场监管局</Company>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2023-10-27T08:32:00Z</dcterms:created>
  <dc:creator>陈明</dc:creator>
  <cp:lastModifiedBy>叻叻</cp:lastModifiedBy>
  <dcterms:modified xsi:type="dcterms:W3CDTF">2024-01-23T08:28:56Z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B0BBCD9248E64ED98CA5CDCD29702DA8</vt:lpwstr>
  </property>
</Properties>
</file>