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600" w:lineRule="exact"/>
        <w:ind w:left="0" w:leftChars="0" w:right="0" w:rightChars="0"/>
        <w:jc w:val="both"/>
        <w:textAlignment w:val="auto"/>
        <w:outlineLvl w:val="9"/>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eastAsia="zh-CN"/>
        </w:rPr>
        <w:t>附件</w:t>
      </w:r>
      <w:r>
        <w:rPr>
          <w:rFonts w:hint="eastAsia" w:ascii="黑体" w:hAnsi="黑体" w:eastAsia="黑体" w:cs="黑体"/>
          <w:sz w:val="32"/>
          <w:szCs w:val="32"/>
          <w:u w:val="none"/>
          <w:lang w:val="en-US" w:eastAsia="zh-CN"/>
        </w:rPr>
        <w:t>1</w:t>
      </w:r>
    </w:p>
    <w:p>
      <w:pPr>
        <w:keepNext w:val="0"/>
        <w:keepLines w:val="0"/>
        <w:pageBreakBefore w:val="0"/>
        <w:widowControl w:val="0"/>
        <w:kinsoku/>
        <w:wordWrap/>
        <w:overflowPunct/>
        <w:topLinePunct w:val="0"/>
        <w:bidi w:val="0"/>
        <w:spacing w:line="60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u w:val="none"/>
          <w:lang w:val="en-US" w:eastAsia="zh-CN"/>
        </w:rPr>
      </w:pPr>
    </w:p>
    <w:p>
      <w:pPr>
        <w:keepNext w:val="0"/>
        <w:keepLines w:val="0"/>
        <w:pageBreakBefore w:val="0"/>
        <w:widowControl w:val="0"/>
        <w:kinsoku/>
        <w:wordWrap/>
        <w:overflowPunct/>
        <w:topLinePunct w:val="0"/>
        <w:bidi w:val="0"/>
        <w:spacing w:line="600" w:lineRule="exact"/>
        <w:ind w:left="0" w:leftChars="0" w:right="0" w:rightChars="0"/>
        <w:jc w:val="center"/>
        <w:textAlignment w:val="auto"/>
        <w:outlineLvl w:val="9"/>
        <w:rPr>
          <w:rFonts w:hint="eastAsia" w:ascii="方正小标宋_GBK" w:hAnsi="方正小标宋_GBK" w:eastAsia="方正小标宋_GBK" w:cs="方正小标宋_GBK"/>
          <w:sz w:val="44"/>
          <w:szCs w:val="44"/>
          <w:u w:val="none"/>
          <w:lang w:eastAsia="zh-CN"/>
        </w:rPr>
      </w:pPr>
      <w:r>
        <w:rPr>
          <w:rFonts w:hint="eastAsia" w:ascii="方正小标宋_GBK" w:hAnsi="方正小标宋_GBK" w:eastAsia="方正小标宋_GBK" w:cs="方正小标宋_GBK"/>
          <w:sz w:val="44"/>
          <w:szCs w:val="44"/>
          <w:u w:val="none"/>
          <w:lang w:val="en-US" w:eastAsia="zh-CN"/>
        </w:rPr>
        <w:t>河源市</w:t>
      </w:r>
      <w:r>
        <w:rPr>
          <w:rFonts w:hint="eastAsia" w:ascii="方正小标宋_GBK" w:hAnsi="方正小标宋_GBK" w:eastAsia="方正小标宋_GBK" w:cs="方正小标宋_GBK"/>
          <w:sz w:val="44"/>
          <w:szCs w:val="44"/>
          <w:u w:val="none"/>
          <w:lang w:eastAsia="zh-CN"/>
        </w:rPr>
        <w:t>高价值专利培育布局中心建设</w:t>
      </w:r>
    </w:p>
    <w:p>
      <w:pPr>
        <w:keepNext w:val="0"/>
        <w:keepLines w:val="0"/>
        <w:pageBreakBefore w:val="0"/>
        <w:widowControl w:val="0"/>
        <w:kinsoku/>
        <w:wordWrap/>
        <w:overflowPunct/>
        <w:topLinePunct w:val="0"/>
        <w:bidi w:val="0"/>
        <w:spacing w:line="600" w:lineRule="exact"/>
        <w:ind w:left="0" w:leftChars="0" w:right="0" w:rightChars="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u w:val="none"/>
          <w:lang w:eastAsia="zh-CN"/>
        </w:rPr>
        <w:t>项目</w:t>
      </w:r>
      <w:r>
        <w:rPr>
          <w:rFonts w:hint="eastAsia" w:ascii="方正小标宋_GBK" w:hAnsi="方正小标宋_GBK" w:eastAsia="方正小标宋_GBK" w:cs="方正小标宋_GBK"/>
          <w:sz w:val="44"/>
          <w:szCs w:val="44"/>
        </w:rPr>
        <w:t>申报指南</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华文楷体" w:hAnsi="华文楷体" w:eastAsia="华文楷体" w:cs="华文楷体"/>
          <w:sz w:val="32"/>
          <w:szCs w:val="32"/>
          <w:u w:val="none"/>
          <w:lang w:eastAsia="zh-CN"/>
        </w:rPr>
      </w:pP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黑体" w:hAnsi="黑体" w:eastAsia="黑体" w:cs="黑体"/>
          <w:b/>
          <w:bCs/>
          <w:color w:val="auto"/>
          <w:sz w:val="32"/>
          <w:szCs w:val="32"/>
          <w:u w:val="none"/>
          <w:lang w:val="en-US" w:eastAsia="zh-CN"/>
        </w:rPr>
      </w:pPr>
      <w:r>
        <w:rPr>
          <w:rFonts w:hint="eastAsia" w:ascii="黑体" w:hAnsi="黑体" w:eastAsia="黑体" w:cs="黑体"/>
          <w:color w:val="auto"/>
          <w:sz w:val="32"/>
          <w:szCs w:val="32"/>
          <w:u w:val="none"/>
          <w:lang w:val="en-US" w:eastAsia="zh-CN"/>
        </w:rPr>
        <w:t>一、项目名称</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cs="仿宋_GB2312"/>
          <w:color w:val="auto"/>
          <w:sz w:val="32"/>
          <w:szCs w:val="32"/>
          <w:u w:val="none"/>
          <w:lang w:eastAsia="zh-CN"/>
        </w:rPr>
      </w:pPr>
      <w:r>
        <w:rPr>
          <w:rFonts w:hint="eastAsia" w:ascii="仿宋_GB2312" w:hAnsi="仿宋_GB2312" w:cs="仿宋_GB2312"/>
          <w:color w:val="auto"/>
          <w:sz w:val="32"/>
          <w:szCs w:val="32"/>
          <w:u w:val="none"/>
          <w:lang w:val="en-US" w:eastAsia="zh-CN"/>
        </w:rPr>
        <w:t>2024年度河源市</w:t>
      </w:r>
      <w:r>
        <w:rPr>
          <w:rFonts w:hint="eastAsia" w:ascii="仿宋_GB2312" w:hAnsi="仿宋_GB2312" w:cs="仿宋_GB2312"/>
          <w:color w:val="auto"/>
          <w:sz w:val="32"/>
          <w:szCs w:val="32"/>
          <w:u w:val="none"/>
          <w:lang w:eastAsia="zh-CN"/>
        </w:rPr>
        <w:t>高价值专利培育布局中心建设项目</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黑体" w:hAnsi="黑体" w:eastAsia="黑体" w:cs="黑体"/>
          <w:color w:val="auto"/>
          <w:sz w:val="32"/>
          <w:szCs w:val="32"/>
          <w:u w:val="none"/>
          <w:lang w:eastAsia="zh-CN"/>
        </w:rPr>
      </w:pPr>
      <w:r>
        <w:rPr>
          <w:rFonts w:hint="eastAsia" w:ascii="黑体" w:hAnsi="黑体" w:eastAsia="黑体" w:cs="黑体"/>
          <w:color w:val="auto"/>
          <w:sz w:val="32"/>
          <w:szCs w:val="32"/>
          <w:u w:val="none"/>
          <w:lang w:eastAsia="zh-CN"/>
        </w:rPr>
        <w:t>二、项目目标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cs="仿宋_GB2312"/>
          <w:snapToGrid w:val="0"/>
          <w:color w:val="auto"/>
          <w:kern w:val="0"/>
          <w:sz w:val="32"/>
          <w:szCs w:val="32"/>
          <w:lang w:val="en-US" w:eastAsia="zh-CN"/>
        </w:rPr>
        <w:t>围绕</w:t>
      </w:r>
      <w:r>
        <w:rPr>
          <w:rFonts w:hint="eastAsia" w:ascii="仿宋_GB2312" w:hAnsi="仿宋_GB2312" w:cs="仿宋_GB2312"/>
          <w:snapToGrid w:val="0"/>
          <w:color w:val="auto"/>
          <w:kern w:val="0"/>
          <w:sz w:val="32"/>
          <w:szCs w:val="32"/>
        </w:rPr>
        <w:t>电子信息、水饮料及食品、先进材料、机械与模具产业等“1+3”产业集群，</w:t>
      </w:r>
      <w:r>
        <w:rPr>
          <w:snapToGrid w:val="0"/>
          <w:color w:val="auto"/>
          <w:kern w:val="0"/>
          <w:sz w:val="32"/>
          <w:szCs w:val="32"/>
        </w:rPr>
        <w:t>在产业核心关键领域培育产出一批科技含量高、权利状态稳定、市场前景好的高价值专利</w:t>
      </w:r>
      <w:r>
        <w:rPr>
          <w:rFonts w:hint="eastAsia" w:ascii="仿宋_GB2312" w:hAnsi="仿宋_GB2312" w:cs="仿宋_GB2312"/>
          <w:snapToGrid w:val="0"/>
          <w:color w:val="auto"/>
          <w:kern w:val="0"/>
          <w:sz w:val="32"/>
          <w:szCs w:val="32"/>
          <w:lang w:eastAsia="zh-CN"/>
        </w:rPr>
        <w:t>，</w:t>
      </w:r>
      <w:r>
        <w:rPr>
          <w:rFonts w:hint="eastAsia" w:ascii="仿宋_GB2312" w:hAnsi="仿宋_GB2312" w:cs="仿宋_GB2312"/>
          <w:snapToGrid w:val="0"/>
          <w:color w:val="auto"/>
          <w:kern w:val="0"/>
          <w:sz w:val="32"/>
          <w:szCs w:val="32"/>
        </w:rPr>
        <w:t>推动知识产权深入融入</w:t>
      </w:r>
      <w:r>
        <w:rPr>
          <w:rFonts w:hint="eastAsia" w:ascii="仿宋_GB2312" w:hAnsi="仿宋_GB2312" w:cs="仿宋_GB2312"/>
          <w:snapToGrid w:val="0"/>
          <w:color w:val="auto"/>
          <w:kern w:val="0"/>
          <w:sz w:val="32"/>
          <w:szCs w:val="32"/>
          <w:lang w:eastAsia="zh-CN"/>
        </w:rPr>
        <w:t>各</w:t>
      </w:r>
      <w:r>
        <w:rPr>
          <w:rFonts w:hint="eastAsia" w:ascii="仿宋_GB2312" w:hAnsi="仿宋_GB2312" w:cs="仿宋_GB2312"/>
          <w:snapToGrid w:val="0"/>
          <w:color w:val="auto"/>
          <w:kern w:val="0"/>
          <w:sz w:val="32"/>
          <w:szCs w:val="32"/>
        </w:rPr>
        <w:t>创新平台科技研发全过程</w:t>
      </w:r>
      <w:r>
        <w:rPr>
          <w:rFonts w:hint="eastAsia" w:ascii="仿宋_GB2312" w:hAnsi="仿宋_GB2312" w:cs="仿宋_GB2312"/>
          <w:snapToGrid w:val="0"/>
          <w:color w:val="auto"/>
          <w:kern w:val="0"/>
          <w:sz w:val="32"/>
          <w:szCs w:val="32"/>
          <w:lang w:eastAsia="zh-CN"/>
        </w:rPr>
        <w:t>。</w:t>
      </w:r>
      <w:r>
        <w:rPr>
          <w:rFonts w:hint="eastAsia" w:ascii="仿宋_GB2312" w:hAnsi="仿宋_GB2312" w:cs="仿宋_GB2312"/>
          <w:color w:val="auto"/>
          <w:sz w:val="32"/>
          <w:szCs w:val="32"/>
          <w:u w:val="none"/>
          <w:lang w:val="en-US" w:eastAsia="zh-CN"/>
        </w:rPr>
        <w:t>支持河源市创新主体建设高价值专利培育布局中心，</w:t>
      </w:r>
      <w:r>
        <w:rPr>
          <w:rFonts w:hint="eastAsia" w:ascii="仿宋_GB2312" w:hAnsi="仿宋_GB2312" w:cs="仿宋_GB2312"/>
          <w:snapToGrid w:val="0"/>
          <w:color w:val="auto"/>
          <w:kern w:val="0"/>
          <w:sz w:val="32"/>
          <w:szCs w:val="32"/>
        </w:rPr>
        <w:t>精准开展高价值专利培育布局</w:t>
      </w:r>
      <w:r>
        <w:rPr>
          <w:rFonts w:hint="eastAsia"/>
          <w:color w:val="auto"/>
          <w:sz w:val="32"/>
          <w:szCs w:val="32"/>
        </w:rPr>
        <w:t>，</w:t>
      </w:r>
      <w:r>
        <w:rPr>
          <w:rFonts w:hint="eastAsia" w:ascii="仿宋_GB2312" w:hAnsi="仿宋_GB2312" w:eastAsia="仿宋_GB2312" w:cs="仿宋_GB2312"/>
          <w:color w:val="auto"/>
          <w:sz w:val="32"/>
          <w:szCs w:val="32"/>
          <w:u w:val="none"/>
          <w:lang w:eastAsia="zh-CN"/>
        </w:rPr>
        <w:t>加快创新驱动发展。</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eastAsia="仿宋_GB2312" w:cs="仿宋_GB2312"/>
          <w:color w:val="auto"/>
          <w:sz w:val="32"/>
          <w:szCs w:val="32"/>
          <w:u w:val="none"/>
          <w:lang w:eastAsia="zh-CN"/>
        </w:rPr>
      </w:pPr>
      <w:r>
        <w:rPr>
          <w:rFonts w:hint="eastAsia" w:ascii="黑体" w:hAnsi="黑体" w:eastAsia="黑体" w:cs="黑体"/>
          <w:color w:val="auto"/>
          <w:sz w:val="32"/>
          <w:szCs w:val="32"/>
          <w:u w:val="none"/>
          <w:lang w:val="en-US" w:eastAsia="zh-CN"/>
        </w:rPr>
        <w:t>三、项目</w:t>
      </w:r>
      <w:r>
        <w:rPr>
          <w:rFonts w:hint="eastAsia" w:ascii="黑体" w:hAnsi="黑体" w:eastAsia="黑体" w:cs="黑体"/>
          <w:color w:val="auto"/>
          <w:sz w:val="32"/>
          <w:szCs w:val="32"/>
          <w:u w:val="none"/>
          <w:lang w:eastAsia="zh-CN"/>
        </w:rPr>
        <w:t>任务</w:t>
      </w:r>
    </w:p>
    <w:p>
      <w:pPr>
        <w:keepNext w:val="0"/>
        <w:keepLines w:val="0"/>
        <w:pageBreakBefore w:val="0"/>
        <w:widowControl/>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rPr>
        <w:t>推动我</w:t>
      </w:r>
      <w:r>
        <w:rPr>
          <w:rFonts w:hint="eastAsia" w:ascii="仿宋_GB2312" w:hAnsi="仿宋_GB2312" w:eastAsia="仿宋_GB2312" w:cs="仿宋_GB2312"/>
          <w:color w:val="auto"/>
          <w:sz w:val="32"/>
          <w:szCs w:val="32"/>
          <w:lang w:val="en-US" w:eastAsia="zh-CN"/>
        </w:rPr>
        <w:t>市</w:t>
      </w:r>
      <w:r>
        <w:rPr>
          <w:rFonts w:hint="eastAsia" w:ascii="仿宋_GB2312" w:hAnsi="仿宋_GB2312" w:eastAsia="仿宋_GB2312" w:cs="仿宋_GB2312"/>
          <w:color w:val="auto"/>
          <w:sz w:val="32"/>
          <w:szCs w:val="32"/>
        </w:rPr>
        <w:t>各类创新</w:t>
      </w:r>
      <w:r>
        <w:rPr>
          <w:rFonts w:hint="eastAsia" w:ascii="仿宋_GB2312" w:hAnsi="仿宋_GB2312" w:cs="仿宋_GB2312"/>
          <w:color w:val="auto"/>
          <w:sz w:val="32"/>
          <w:szCs w:val="32"/>
          <w:lang w:eastAsia="zh-CN"/>
        </w:rPr>
        <w:t>中心</w:t>
      </w:r>
      <w:r>
        <w:rPr>
          <w:rFonts w:hint="eastAsia" w:ascii="仿宋_GB2312" w:hAnsi="仿宋_GB2312" w:eastAsia="仿宋_GB2312" w:cs="仿宋_GB2312"/>
          <w:color w:val="auto"/>
          <w:sz w:val="32"/>
          <w:szCs w:val="32"/>
        </w:rPr>
        <w:t>提升专利制度综合运用能力，产出一批产业发展需要的高价值发明专利。</w:t>
      </w:r>
      <w:r>
        <w:rPr>
          <w:rFonts w:hint="eastAsia" w:ascii="仿宋_GB2312" w:hAnsi="仿宋_GB2312" w:eastAsia="仿宋_GB2312" w:cs="仿宋_GB2312"/>
          <w:color w:val="auto"/>
          <w:sz w:val="32"/>
          <w:szCs w:val="32"/>
          <w:lang w:val="en-US" w:eastAsia="zh-CN"/>
        </w:rPr>
        <w:t>主要完成以下</w:t>
      </w:r>
      <w:r>
        <w:rPr>
          <w:rFonts w:hint="eastAsia" w:ascii="仿宋_GB2312" w:hAnsi="仿宋_GB2312" w:eastAsia="仿宋_GB2312" w:cs="仿宋_GB2312"/>
          <w:color w:val="auto"/>
          <w:sz w:val="32"/>
          <w:szCs w:val="32"/>
        </w:rPr>
        <w:t>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eastAsia" w:ascii="仿宋_GB2312" w:hAnsi="仿宋_GB2312" w:cs="仿宋_GB2312"/>
          <w:color w:val="auto"/>
          <w:sz w:val="32"/>
          <w:szCs w:val="32"/>
          <w:u w:val="none"/>
          <w:lang w:eastAsia="zh-CN"/>
        </w:rPr>
      </w:pPr>
      <w:r>
        <w:rPr>
          <w:rFonts w:hint="eastAsia" w:ascii="仿宋_GB2312" w:hAnsi="仿宋_GB2312" w:cs="仿宋_GB2312"/>
          <w:color w:val="auto"/>
          <w:sz w:val="32"/>
          <w:szCs w:val="32"/>
          <w:u w:val="none"/>
          <w:lang w:eastAsia="zh-CN"/>
        </w:rPr>
        <w:t>（</w:t>
      </w:r>
      <w:r>
        <w:rPr>
          <w:rFonts w:hint="eastAsia" w:ascii="仿宋_GB2312" w:hAnsi="仿宋_GB2312" w:cs="仿宋_GB2312"/>
          <w:color w:val="auto"/>
          <w:sz w:val="32"/>
          <w:szCs w:val="32"/>
          <w:u w:val="none"/>
          <w:lang w:val="en-US" w:eastAsia="zh-CN"/>
        </w:rPr>
        <w:t>一</w:t>
      </w:r>
      <w:r>
        <w:rPr>
          <w:rFonts w:hint="eastAsia" w:ascii="仿宋_GB2312" w:hAnsi="仿宋_GB2312" w:cs="仿宋_GB2312"/>
          <w:color w:val="auto"/>
          <w:sz w:val="32"/>
          <w:szCs w:val="32"/>
          <w:u w:val="none"/>
          <w:lang w:eastAsia="zh-CN"/>
        </w:rPr>
        <w:t>）建立高价值专利培育</w:t>
      </w:r>
      <w:r>
        <w:rPr>
          <w:rFonts w:hint="eastAsia" w:ascii="仿宋_GB2312" w:hAnsi="仿宋_GB2312" w:cs="仿宋_GB2312"/>
          <w:color w:val="auto"/>
          <w:sz w:val="32"/>
          <w:szCs w:val="32"/>
          <w:u w:val="none"/>
          <w:lang w:val="en-US" w:eastAsia="zh-CN"/>
        </w:rPr>
        <w:t>布局</w:t>
      </w:r>
      <w:r>
        <w:rPr>
          <w:rFonts w:hint="eastAsia" w:ascii="仿宋_GB2312" w:hAnsi="仿宋_GB2312" w:cs="仿宋_GB2312"/>
          <w:color w:val="auto"/>
          <w:sz w:val="32"/>
          <w:szCs w:val="32"/>
          <w:u w:val="none"/>
          <w:lang w:eastAsia="zh-CN"/>
        </w:rPr>
        <w:t>中心。依托</w:t>
      </w:r>
      <w:r>
        <w:rPr>
          <w:rFonts w:hint="eastAsia" w:ascii="仿宋_GB2312" w:hAnsi="仿宋_GB2312" w:eastAsia="仿宋_GB2312" w:cs="仿宋_GB2312"/>
          <w:color w:val="auto"/>
          <w:sz w:val="32"/>
          <w:szCs w:val="32"/>
        </w:rPr>
        <w:t>创新</w:t>
      </w:r>
      <w:r>
        <w:rPr>
          <w:rFonts w:hint="eastAsia" w:ascii="仿宋_GB2312" w:hAnsi="仿宋_GB2312" w:cs="仿宋_GB2312"/>
          <w:color w:val="auto"/>
          <w:sz w:val="32"/>
          <w:szCs w:val="32"/>
          <w:lang w:eastAsia="zh-CN"/>
        </w:rPr>
        <w:t>中心</w:t>
      </w:r>
      <w:r>
        <w:rPr>
          <w:rFonts w:hint="eastAsia" w:ascii="仿宋_GB2312" w:hAnsi="仿宋_GB2312" w:cs="仿宋_GB2312"/>
          <w:color w:val="auto"/>
          <w:sz w:val="32"/>
          <w:szCs w:val="32"/>
          <w:u w:val="none"/>
          <w:lang w:eastAsia="zh-CN"/>
        </w:rPr>
        <w:t>挂牌成立该技术领域高价值专利培育</w:t>
      </w:r>
      <w:r>
        <w:rPr>
          <w:rFonts w:hint="eastAsia" w:ascii="仿宋_GB2312" w:hAnsi="仿宋_GB2312" w:cs="仿宋_GB2312"/>
          <w:color w:val="auto"/>
          <w:sz w:val="32"/>
          <w:szCs w:val="32"/>
          <w:u w:val="none"/>
          <w:lang w:val="en-US" w:eastAsia="zh-CN"/>
        </w:rPr>
        <w:t>布局</w:t>
      </w:r>
      <w:r>
        <w:rPr>
          <w:rFonts w:hint="eastAsia" w:ascii="仿宋_GB2312" w:hAnsi="仿宋_GB2312" w:cs="仿宋_GB2312"/>
          <w:color w:val="auto"/>
          <w:sz w:val="32"/>
          <w:szCs w:val="32"/>
          <w:u w:val="none"/>
          <w:lang w:eastAsia="zh-CN"/>
        </w:rPr>
        <w:t>中心，完善组织架构和人员分工，建立完善高价值专利培育</w:t>
      </w:r>
      <w:r>
        <w:rPr>
          <w:rFonts w:hint="eastAsia" w:ascii="仿宋_GB2312" w:hAnsi="仿宋_GB2312" w:cs="仿宋_GB2312"/>
          <w:color w:val="auto"/>
          <w:sz w:val="32"/>
          <w:szCs w:val="32"/>
          <w:u w:val="none"/>
          <w:lang w:val="en-US" w:eastAsia="zh-CN"/>
        </w:rPr>
        <w:t>布局</w:t>
      </w:r>
      <w:r>
        <w:rPr>
          <w:rFonts w:hint="eastAsia" w:ascii="仿宋_GB2312" w:hAnsi="仿宋_GB2312" w:cs="仿宋_GB2312"/>
          <w:color w:val="auto"/>
          <w:sz w:val="32"/>
          <w:szCs w:val="32"/>
          <w:u w:val="none"/>
          <w:lang w:eastAsia="zh-CN"/>
        </w:rPr>
        <w:t>中心管理制度，推动知识产权融入科技研发全过程管理。</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cs="仿宋_GB2312"/>
          <w:color w:val="auto"/>
          <w:sz w:val="32"/>
          <w:szCs w:val="32"/>
          <w:u w:val="none"/>
          <w:lang w:eastAsia="zh-CN"/>
        </w:rPr>
        <w:t>（</w:t>
      </w:r>
      <w:r>
        <w:rPr>
          <w:rFonts w:hint="eastAsia" w:ascii="仿宋_GB2312" w:hAnsi="仿宋_GB2312" w:cs="仿宋_GB2312"/>
          <w:color w:val="auto"/>
          <w:sz w:val="32"/>
          <w:szCs w:val="32"/>
          <w:u w:val="none"/>
          <w:lang w:val="en-US" w:eastAsia="zh-CN"/>
        </w:rPr>
        <w:t>二</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eastAsia="zh-CN"/>
        </w:rPr>
        <w:t>建立完善专利管理及权益分配机制，强化专利评价导向。建立健全创新中心研发活动专利全过程管理体系，建立优化专利分级分类管理机制、知识产权权益分配机制；强化创新工作的专利评价导向，将发明专利申请和授权、PCT专利申请等产出情况纳入各类创新中心创新工作的核心评价指标，促进专利与各类创新中心发展紧密融合。</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lang w:eastAsia="zh-CN"/>
        </w:rPr>
        <w:t>）开展高价值专利培育工作。开展专利信息检索分析，分析技术发展路线，将专利信息利用融入技术研发过程，利用专利信息提高技术创新的效率与水平</w:t>
      </w:r>
      <w:r>
        <w:rPr>
          <w:rFonts w:hint="eastAsia" w:ascii="仿宋_GB2312" w:hAnsi="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eastAsia="zh-CN"/>
        </w:rPr>
        <w:t>完成专利信息检索分析</w:t>
      </w:r>
      <w:r>
        <w:rPr>
          <w:rFonts w:hint="eastAsia" w:ascii="仿宋_GB2312" w:hAnsi="仿宋_GB2312" w:cs="仿宋_GB2312"/>
          <w:color w:val="auto"/>
          <w:sz w:val="32"/>
          <w:szCs w:val="32"/>
          <w:u w:val="none"/>
          <w:lang w:val="en-US" w:eastAsia="zh-CN"/>
        </w:rPr>
        <w:t>报告</w:t>
      </w:r>
      <w:r>
        <w:rPr>
          <w:rFonts w:hint="eastAsia" w:ascii="仿宋_GB2312" w:hAnsi="仿宋_GB2312" w:eastAsia="仿宋_GB2312" w:cs="仿宋_GB2312"/>
          <w:color w:val="auto"/>
          <w:sz w:val="32"/>
          <w:szCs w:val="32"/>
          <w:u w:val="none"/>
          <w:lang w:eastAsia="zh-CN"/>
        </w:rPr>
        <w:t>一份；围绕所担负的科研攻关任务技术领域，制定高价值专利培育工作方案</w:t>
      </w:r>
      <w:r>
        <w:rPr>
          <w:rFonts w:hint="eastAsia" w:ascii="仿宋_GB2312" w:hAnsi="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lang w:eastAsia="zh-CN"/>
        </w:rPr>
        <w:t>项目</w:t>
      </w:r>
      <w:r>
        <w:rPr>
          <w:rFonts w:hint="eastAsia" w:ascii="仿宋_GB2312" w:hAnsi="仿宋_GB2312" w:cs="仿宋_GB2312"/>
          <w:color w:val="auto"/>
          <w:sz w:val="32"/>
          <w:szCs w:val="32"/>
          <w:u w:val="none"/>
          <w:lang w:val="en-US" w:eastAsia="zh-CN"/>
        </w:rPr>
        <w:t>实施期间，围绕</w:t>
      </w:r>
      <w:r>
        <w:rPr>
          <w:rFonts w:hint="eastAsia" w:ascii="仿宋_GB2312" w:hAnsi="仿宋_GB2312" w:eastAsia="仿宋_GB2312" w:cs="仿宋_GB2312"/>
          <w:color w:val="auto"/>
          <w:sz w:val="32"/>
          <w:szCs w:val="32"/>
          <w:u w:val="none"/>
          <w:lang w:eastAsia="zh-CN"/>
        </w:rPr>
        <w:t>该技术领域新增发明专利10件以上（含已申请未授权发明专利），两年</w:t>
      </w:r>
      <w:r>
        <w:rPr>
          <w:rFonts w:hint="eastAsia" w:ascii="仿宋_GB2312" w:hAnsi="仿宋_GB2312" w:cs="仿宋_GB2312"/>
          <w:color w:val="auto"/>
          <w:sz w:val="32"/>
          <w:szCs w:val="32"/>
          <w:u w:val="none"/>
          <w:lang w:val="en-US" w:eastAsia="zh-CN"/>
        </w:rPr>
        <w:t>中心</w:t>
      </w:r>
      <w:r>
        <w:rPr>
          <w:rFonts w:hint="eastAsia" w:ascii="仿宋_GB2312" w:hAnsi="仿宋_GB2312" w:eastAsia="仿宋_GB2312" w:cs="仿宋_GB2312"/>
          <w:color w:val="auto"/>
          <w:sz w:val="32"/>
          <w:szCs w:val="32"/>
          <w:u w:val="none"/>
          <w:lang w:eastAsia="zh-CN"/>
        </w:rPr>
        <w:t>累计新增该技术领域发明专利</w:t>
      </w:r>
      <w:r>
        <w:rPr>
          <w:rFonts w:hint="eastAsia" w:ascii="仿宋_GB2312" w:hAnsi="仿宋_GB2312" w:cs="仿宋_GB2312"/>
          <w:color w:val="auto"/>
          <w:sz w:val="32"/>
          <w:szCs w:val="32"/>
          <w:u w:val="none"/>
          <w:lang w:val="en-US" w:eastAsia="zh-CN"/>
        </w:rPr>
        <w:t>20</w:t>
      </w:r>
      <w:r>
        <w:rPr>
          <w:rFonts w:hint="eastAsia" w:ascii="仿宋_GB2312" w:hAnsi="仿宋_GB2312" w:eastAsia="仿宋_GB2312" w:cs="仿宋_GB2312"/>
          <w:color w:val="auto"/>
          <w:sz w:val="32"/>
          <w:szCs w:val="32"/>
          <w:u w:val="none"/>
          <w:lang w:eastAsia="zh-CN"/>
        </w:rPr>
        <w:t>件以上（含已申请未授权发明专利）。</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cs="仿宋_GB2312"/>
          <w:color w:val="auto"/>
          <w:sz w:val="32"/>
          <w:szCs w:val="32"/>
          <w:u w:val="none"/>
          <w:lang w:val="en-US" w:eastAsia="zh-CN"/>
        </w:rPr>
        <w:t>四</w:t>
      </w:r>
      <w:r>
        <w:rPr>
          <w:rFonts w:hint="eastAsia" w:ascii="仿宋_GB2312" w:hAnsi="仿宋_GB2312" w:eastAsia="仿宋_GB2312" w:cs="仿宋_GB2312"/>
          <w:color w:val="auto"/>
          <w:sz w:val="32"/>
          <w:szCs w:val="32"/>
          <w:u w:val="none"/>
          <w:lang w:eastAsia="zh-CN"/>
        </w:rPr>
        <w:t>）建立健全创新中心与知识产权专业服务机构对接合作机制。创新中心建立健全与专利代理机构等知识产权服务机构深度对接合作机制，充分利用专业服务机构，</w:t>
      </w:r>
      <w:r>
        <w:rPr>
          <w:rFonts w:hint="eastAsia" w:ascii="仿宋_GB2312" w:hAnsi="仿宋_GB2312" w:cs="仿宋_GB2312"/>
          <w:color w:val="auto"/>
          <w:sz w:val="32"/>
          <w:szCs w:val="32"/>
          <w:u w:val="none"/>
          <w:lang w:val="en-US" w:eastAsia="zh-CN"/>
        </w:rPr>
        <w:t>开展技术挖掘、专利布局、质押融资及管理实务培训等，</w:t>
      </w:r>
      <w:r>
        <w:rPr>
          <w:rFonts w:hint="eastAsia" w:ascii="仿宋_GB2312" w:hAnsi="仿宋_GB2312" w:cs="仿宋_GB2312"/>
          <w:color w:val="auto"/>
          <w:sz w:val="32"/>
          <w:szCs w:val="32"/>
          <w:u w:val="none"/>
          <w:lang w:eastAsia="zh-CN"/>
        </w:rPr>
        <w:t>提高企业研发人员专利技术挖掘能力，</w:t>
      </w:r>
      <w:r>
        <w:rPr>
          <w:rFonts w:hint="eastAsia" w:ascii="仿宋_GB2312" w:hAnsi="仿宋_GB2312" w:eastAsia="仿宋_GB2312" w:cs="仿宋_GB2312"/>
          <w:color w:val="auto"/>
          <w:sz w:val="32"/>
          <w:szCs w:val="32"/>
          <w:u w:val="none"/>
          <w:lang w:eastAsia="zh-CN"/>
        </w:rPr>
        <w:t>助推提高创新成果专利化效率，切实提升专利申请文件撰写质量。</w:t>
      </w:r>
    </w:p>
    <w:p>
      <w:pPr>
        <w:keepNext w:val="0"/>
        <w:keepLines w:val="0"/>
        <w:pageBreakBefore w:val="0"/>
        <w:kinsoku/>
        <w:wordWrap/>
        <w:overflowPunct/>
        <w:topLinePunct w:val="0"/>
        <w:bidi w:val="0"/>
        <w:adjustRightInd w:val="0"/>
        <w:snapToGrid w:val="0"/>
        <w:spacing w:line="600" w:lineRule="exact"/>
        <w:ind w:firstLine="640" w:firstLineChars="200"/>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五</w:t>
      </w:r>
      <w:r>
        <w:rPr>
          <w:rFonts w:hint="eastAsia" w:ascii="仿宋_GB2312" w:hAnsi="仿宋_GB2312" w:eastAsia="仿宋_GB2312" w:cs="仿宋_GB2312"/>
          <w:color w:val="auto"/>
          <w:sz w:val="32"/>
          <w:szCs w:val="32"/>
          <w:u w:val="none"/>
          <w:lang w:eastAsia="zh-CN"/>
        </w:rPr>
        <w:t>）推动专利转化运用</w:t>
      </w:r>
      <w:r>
        <w:rPr>
          <w:rFonts w:hint="eastAsia" w:ascii="仿宋_GB2312" w:hAnsi="仿宋_GB2312" w:cs="仿宋_GB2312"/>
          <w:color w:val="auto"/>
          <w:sz w:val="32"/>
          <w:szCs w:val="32"/>
          <w:u w:val="none"/>
          <w:lang w:val="en-US" w:eastAsia="zh-CN"/>
        </w:rPr>
        <w:t>工作</w:t>
      </w:r>
      <w:r>
        <w:rPr>
          <w:rFonts w:hint="eastAsia" w:ascii="仿宋_GB2312" w:hAnsi="仿宋_GB2312" w:eastAsia="仿宋_GB2312" w:cs="仿宋_GB2312"/>
          <w:color w:val="auto"/>
          <w:sz w:val="32"/>
          <w:szCs w:val="32"/>
          <w:u w:val="none"/>
          <w:lang w:val="en-US" w:eastAsia="zh-CN"/>
        </w:rPr>
        <w:t>。完善</w:t>
      </w:r>
      <w:r>
        <w:rPr>
          <w:rFonts w:hint="eastAsia" w:ascii="仿宋_GB2312" w:hAnsi="仿宋_GB2312" w:cs="仿宋_GB2312"/>
          <w:color w:val="auto"/>
          <w:sz w:val="32"/>
          <w:szCs w:val="32"/>
          <w:u w:val="none"/>
          <w:lang w:val="en-US" w:eastAsia="zh-CN"/>
        </w:rPr>
        <w:t>创新中心</w:t>
      </w:r>
      <w:r>
        <w:rPr>
          <w:rFonts w:hint="eastAsia" w:ascii="仿宋_GB2312" w:hAnsi="仿宋_GB2312" w:eastAsia="仿宋_GB2312" w:cs="仿宋_GB2312"/>
          <w:color w:val="auto"/>
          <w:sz w:val="32"/>
          <w:szCs w:val="32"/>
          <w:u w:val="none"/>
          <w:lang w:val="en-US" w:eastAsia="zh-CN"/>
        </w:rPr>
        <w:t>专利转化运用机制，通过专利产品化、转让许可、质押融资等方式，推动专利转化运用取得较好成果</w:t>
      </w:r>
      <w:r>
        <w:rPr>
          <w:rFonts w:hint="eastAsia" w:ascii="仿宋_GB2312" w:hAnsi="仿宋_GB2312" w:cs="仿宋_GB2312"/>
          <w:color w:val="auto"/>
          <w:sz w:val="32"/>
          <w:szCs w:val="32"/>
          <w:u w:val="none"/>
          <w:lang w:val="en-US" w:eastAsia="zh-CN"/>
        </w:rPr>
        <w:t>。</w:t>
      </w:r>
      <w:r>
        <w:rPr>
          <w:rFonts w:hint="eastAsia" w:ascii="仿宋_GB2312" w:hAnsi="仿宋_GB2312" w:eastAsia="仿宋_GB2312" w:cs="仿宋_GB2312"/>
          <w:color w:val="auto"/>
          <w:sz w:val="32"/>
          <w:szCs w:val="32"/>
          <w:u w:val="none"/>
          <w:lang w:val="en-US" w:eastAsia="zh-CN"/>
        </w:rPr>
        <w:t>积极</w:t>
      </w:r>
      <w:r>
        <w:rPr>
          <w:rFonts w:hint="eastAsia" w:ascii="仿宋_GB2312" w:hAnsi="仿宋_GB2312" w:cs="仿宋_GB2312"/>
          <w:color w:val="auto"/>
          <w:sz w:val="32"/>
          <w:szCs w:val="32"/>
          <w:u w:val="none"/>
          <w:lang w:val="en-US" w:eastAsia="zh-CN"/>
        </w:rPr>
        <w:t>开展知识产权优势示范创建工作，</w:t>
      </w:r>
      <w:r>
        <w:rPr>
          <w:rFonts w:hint="eastAsia" w:ascii="仿宋_GB2312" w:hAnsi="仿宋_GB2312" w:eastAsia="仿宋_GB2312" w:cs="仿宋_GB2312"/>
          <w:color w:val="auto"/>
          <w:sz w:val="32"/>
          <w:szCs w:val="32"/>
          <w:u w:val="none"/>
          <w:lang w:val="en-US" w:eastAsia="zh-CN"/>
        </w:rPr>
        <w:t>参与国家、省知识产权相关评奖、赛事等活动，贯彻实施知识产权管理规范，</w:t>
      </w:r>
      <w:r>
        <w:rPr>
          <w:rFonts w:hint="eastAsia" w:ascii="仿宋_GB2312" w:hAnsi="仿宋_GB2312" w:cs="仿宋_GB2312"/>
          <w:color w:val="auto"/>
          <w:sz w:val="32"/>
          <w:szCs w:val="32"/>
          <w:u w:val="none"/>
          <w:lang w:val="en-US" w:eastAsia="zh-CN"/>
        </w:rPr>
        <w:t>全面提升知识产权创造质量和运用效益。</w:t>
      </w:r>
    </w:p>
    <w:p>
      <w:pPr>
        <w:keepNext w:val="0"/>
        <w:keepLines w:val="0"/>
        <w:pageBreakBefore w:val="0"/>
        <w:widowControl w:val="0"/>
        <w:kinsoku/>
        <w:wordWrap/>
        <w:overflowPunct/>
        <w:topLinePunct w:val="0"/>
        <w:autoSpaceDE w:val="0"/>
        <w:autoSpaceDN w:val="0"/>
        <w:bidi w:val="0"/>
        <w:adjustRightInd/>
        <w:snapToGrid/>
        <w:spacing w:line="600" w:lineRule="exact"/>
        <w:ind w:right="0" w:rightChars="0" w:firstLine="640" w:firstLineChars="200"/>
        <w:jc w:val="both"/>
        <w:textAlignment w:val="auto"/>
        <w:rPr>
          <w:rFonts w:hint="eastAsia" w:ascii="黑体" w:hAnsi="黑体" w:eastAsia="黑体" w:cs="黑体"/>
          <w:color w:val="auto"/>
          <w:sz w:val="32"/>
          <w:szCs w:val="32"/>
          <w:u w:val="none"/>
          <w:lang w:eastAsia="zh-CN"/>
        </w:rPr>
      </w:pPr>
      <w:r>
        <w:rPr>
          <w:rFonts w:hint="eastAsia" w:ascii="黑体" w:hAnsi="黑体" w:eastAsia="黑体" w:cs="黑体"/>
          <w:color w:val="auto"/>
          <w:sz w:val="32"/>
          <w:szCs w:val="32"/>
          <w:u w:val="none"/>
          <w:lang w:eastAsia="zh-CN"/>
        </w:rPr>
        <w:t>四、申报主体及条件</w:t>
      </w:r>
    </w:p>
    <w:p>
      <w:pPr>
        <w:keepNext w:val="0"/>
        <w:keepLines w:val="0"/>
        <w:pageBreakBefore w:val="0"/>
        <w:kinsoku/>
        <w:wordWrap/>
        <w:overflowPunct/>
        <w:topLinePunct w:val="0"/>
        <w:bidi w:val="0"/>
        <w:adjustRightInd/>
        <w:snapToGrid/>
        <w:spacing w:line="600" w:lineRule="exact"/>
        <w:ind w:firstLine="640" w:firstLineChars="200"/>
        <w:textAlignment w:val="auto"/>
        <w:rPr>
          <w:rFonts w:hint="eastAsia" w:ascii="宋体" w:hAnsi="宋体" w:eastAsia="宋体" w:cs="宋体"/>
          <w:b w:val="0"/>
          <w:bCs/>
          <w:color w:val="auto"/>
          <w:szCs w:val="32"/>
          <w:lang w:eastAsia="zh-CN"/>
        </w:rPr>
      </w:pPr>
      <w:r>
        <w:rPr>
          <w:rFonts w:hint="eastAsia" w:ascii="楷体" w:hAnsi="楷体" w:eastAsia="楷体" w:cs="楷体"/>
          <w:b w:val="0"/>
          <w:bCs/>
          <w:color w:val="auto"/>
          <w:szCs w:val="32"/>
          <w:lang w:eastAsia="zh-CN"/>
        </w:rPr>
        <w:t>（一）</w:t>
      </w:r>
      <w:r>
        <w:rPr>
          <w:rFonts w:hint="eastAsia" w:ascii="楷体" w:hAnsi="楷体" w:eastAsia="楷体" w:cs="楷体"/>
          <w:b w:val="0"/>
          <w:bCs/>
          <w:color w:val="auto"/>
          <w:szCs w:val="32"/>
        </w:rPr>
        <w:t>申报主体：</w:t>
      </w:r>
      <w:r>
        <w:rPr>
          <w:rFonts w:hint="eastAsia" w:ascii="仿宋_GB2312" w:hAnsi="仿宋_GB2312" w:cs="仿宋_GB2312"/>
          <w:b w:val="0"/>
          <w:bCs/>
          <w:color w:val="auto"/>
          <w:szCs w:val="32"/>
          <w:lang w:val="en-US" w:eastAsia="zh-CN"/>
        </w:rPr>
        <w:t>河源市</w:t>
      </w:r>
      <w:r>
        <w:rPr>
          <w:rFonts w:hint="eastAsia"/>
          <w:color w:val="auto"/>
          <w:sz w:val="32"/>
          <w:szCs w:val="32"/>
          <w:highlight w:val="none"/>
          <w:lang w:eastAsia="zh-CN"/>
        </w:rPr>
        <w:t>具有独立法人资格</w:t>
      </w:r>
      <w:r>
        <w:rPr>
          <w:rFonts w:hint="eastAsia"/>
          <w:color w:val="auto"/>
          <w:sz w:val="32"/>
          <w:szCs w:val="32"/>
          <w:highlight w:val="none"/>
          <w:lang w:val="en-US" w:eastAsia="zh-CN"/>
        </w:rPr>
        <w:t>的相关创新主体</w:t>
      </w:r>
      <w:r>
        <w:rPr>
          <w:rFonts w:hint="eastAsia" w:ascii="仿宋_GB2312" w:hAnsi="仿宋_GB2312" w:cs="仿宋_GB2312"/>
          <w:b w:val="0"/>
          <w:bCs/>
          <w:color w:val="auto"/>
          <w:szCs w:val="32"/>
          <w:lang w:val="en-US" w:eastAsia="zh-CN"/>
        </w:rPr>
        <w:t>牵头</w:t>
      </w:r>
      <w:r>
        <w:rPr>
          <w:rFonts w:hint="eastAsia" w:ascii="Times New Roman" w:hAnsi="Times New Roman" w:eastAsia="仿宋_GB2312" w:cs="仿宋_GB2312"/>
          <w:b w:val="0"/>
          <w:bCs/>
          <w:color w:val="auto"/>
          <w:sz w:val="32"/>
          <w:szCs w:val="32"/>
        </w:rPr>
        <w:t>（包括</w:t>
      </w:r>
      <w:r>
        <w:rPr>
          <w:snapToGrid w:val="0"/>
          <w:color w:val="auto"/>
          <w:kern w:val="0"/>
          <w:sz w:val="32"/>
          <w:szCs w:val="32"/>
        </w:rPr>
        <w:t>重点实验室等</w:t>
      </w:r>
      <w:r>
        <w:rPr>
          <w:rFonts w:hint="eastAsia" w:ascii="Times New Roman" w:hAnsi="Times New Roman" w:cs="仿宋_GB2312"/>
          <w:b w:val="0"/>
          <w:bCs/>
          <w:color w:val="auto"/>
          <w:sz w:val="32"/>
          <w:szCs w:val="32"/>
          <w:lang w:eastAsia="zh-CN"/>
        </w:rPr>
        <w:t>各类创新平台</w:t>
      </w:r>
      <w:r>
        <w:rPr>
          <w:rFonts w:hint="eastAsia" w:ascii="Times New Roman" w:hAnsi="Times New Roman" w:eastAsia="仿宋_GB2312" w:cs="仿宋_GB2312"/>
          <w:b w:val="0"/>
          <w:bCs/>
          <w:color w:val="auto"/>
          <w:sz w:val="32"/>
          <w:szCs w:val="32"/>
        </w:rPr>
        <w:t>、高校</w:t>
      </w:r>
      <w:r>
        <w:rPr>
          <w:rFonts w:hint="eastAsia" w:ascii="Times New Roman" w:hAnsi="Times New Roman" w:cs="仿宋_GB2312"/>
          <w:b w:val="0"/>
          <w:bCs/>
          <w:color w:val="auto"/>
          <w:sz w:val="32"/>
          <w:szCs w:val="32"/>
          <w:lang w:eastAsia="zh-CN"/>
        </w:rPr>
        <w:t>院所</w:t>
      </w:r>
      <w:r>
        <w:rPr>
          <w:rFonts w:hint="eastAsia" w:ascii="Times New Roman" w:hAnsi="Times New Roman" w:eastAsia="仿宋_GB2312" w:cs="仿宋_GB2312"/>
          <w:b w:val="0"/>
          <w:bCs/>
          <w:color w:val="auto"/>
          <w:sz w:val="32"/>
          <w:szCs w:val="32"/>
        </w:rPr>
        <w:t>、企</w:t>
      </w:r>
      <w:r>
        <w:rPr>
          <w:rFonts w:hint="eastAsia" w:cs="仿宋_GB2312"/>
          <w:b w:val="0"/>
          <w:bCs/>
          <w:color w:val="auto"/>
          <w:sz w:val="32"/>
          <w:szCs w:val="32"/>
          <w:lang w:val="en-US" w:eastAsia="zh-CN"/>
        </w:rPr>
        <w:t>事</w:t>
      </w:r>
      <w:r>
        <w:rPr>
          <w:rFonts w:hint="eastAsia" w:ascii="Times New Roman" w:hAnsi="Times New Roman" w:eastAsia="仿宋_GB2312" w:cs="仿宋_GB2312"/>
          <w:b w:val="0"/>
          <w:bCs/>
          <w:color w:val="auto"/>
          <w:sz w:val="32"/>
          <w:szCs w:val="32"/>
        </w:rPr>
        <w:t>业</w:t>
      </w:r>
      <w:r>
        <w:rPr>
          <w:rFonts w:hint="eastAsia" w:cs="仿宋_GB2312"/>
          <w:b w:val="0"/>
          <w:bCs/>
          <w:color w:val="auto"/>
          <w:sz w:val="32"/>
          <w:szCs w:val="32"/>
          <w:lang w:val="en-US" w:eastAsia="zh-CN"/>
        </w:rPr>
        <w:t>单位</w:t>
      </w:r>
      <w:r>
        <w:rPr>
          <w:rFonts w:hint="eastAsia" w:ascii="Times New Roman" w:hAnsi="Times New Roman" w:eastAsia="仿宋_GB2312" w:cs="仿宋_GB2312"/>
          <w:b w:val="0"/>
          <w:bCs/>
          <w:color w:val="auto"/>
          <w:sz w:val="32"/>
          <w:szCs w:val="32"/>
        </w:rPr>
        <w:t>等）</w:t>
      </w:r>
      <w:r>
        <w:rPr>
          <w:rFonts w:hint="eastAsia" w:ascii="仿宋_GB2312" w:hAnsi="仿宋_GB2312" w:cs="仿宋_GB2312"/>
          <w:b w:val="0"/>
          <w:bCs/>
          <w:color w:val="auto"/>
          <w:szCs w:val="32"/>
          <w:lang w:val="en-US" w:eastAsia="zh-CN"/>
        </w:rPr>
        <w:t>，联合</w:t>
      </w:r>
      <w:r>
        <w:rPr>
          <w:rFonts w:hint="eastAsia"/>
          <w:color w:val="auto"/>
          <w:sz w:val="32"/>
          <w:szCs w:val="32"/>
        </w:rPr>
        <w:t>知识产权服务机构共同申报</w:t>
      </w:r>
      <w:r>
        <w:rPr>
          <w:color w:val="auto"/>
          <w:sz w:val="32"/>
          <w:szCs w:val="32"/>
        </w:rPr>
        <w:t>。</w:t>
      </w:r>
    </w:p>
    <w:p>
      <w:pPr>
        <w:keepNext w:val="0"/>
        <w:keepLines w:val="0"/>
        <w:pageBreakBefore w:val="0"/>
        <w:widowControl w:val="0"/>
        <w:kinsoku/>
        <w:wordWrap/>
        <w:overflowPunct/>
        <w:topLinePunct w:val="0"/>
        <w:bidi w:val="0"/>
        <w:adjustRightInd/>
        <w:snapToGrid/>
        <w:spacing w:line="600" w:lineRule="exact"/>
        <w:ind w:firstLine="640" w:firstLineChars="200"/>
        <w:textAlignment w:val="auto"/>
        <w:rPr>
          <w:rFonts w:hint="eastAsia" w:ascii="仿宋_GB2312" w:hAnsi="仿宋_GB2312" w:eastAsia="仿宋_GB2312" w:cs="仿宋_GB2312"/>
          <w:b w:val="0"/>
          <w:bCs/>
          <w:color w:val="auto"/>
          <w:szCs w:val="32"/>
          <w:lang w:eastAsia="zh-CN"/>
        </w:rPr>
      </w:pPr>
      <w:r>
        <w:rPr>
          <w:rFonts w:hint="eastAsia" w:ascii="楷体" w:hAnsi="楷体" w:eastAsia="楷体" w:cs="楷体"/>
          <w:b w:val="0"/>
          <w:bCs/>
          <w:color w:val="auto"/>
          <w:szCs w:val="32"/>
          <w:lang w:eastAsia="zh-CN"/>
        </w:rPr>
        <w:t>（二）申报条件：</w:t>
      </w:r>
    </w:p>
    <w:p>
      <w:pPr>
        <w:keepNext w:val="0"/>
        <w:keepLines w:val="0"/>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b w:val="0"/>
          <w:bCs/>
          <w:color w:val="auto"/>
          <w:szCs w:val="32"/>
          <w:lang w:val="en-US" w:eastAsia="zh-CN"/>
        </w:rPr>
      </w:pPr>
      <w:r>
        <w:rPr>
          <w:rFonts w:hint="eastAsia" w:ascii="仿宋_GB2312" w:hAnsi="仿宋_GB2312" w:eastAsia="仿宋_GB2312" w:cs="仿宋_GB2312"/>
          <w:b w:val="0"/>
          <w:bCs/>
          <w:color w:val="auto"/>
          <w:szCs w:val="32"/>
          <w:lang w:val="en-US" w:eastAsia="zh-CN"/>
        </w:rPr>
        <w:t>1.牵头单位已认定为国家级或省级新兴产业创新中心、制造业创新中心、技术创新中心、产学研协同创新中心、工程技术研究中心、工程实验室、重点实验室、省级企业技术中心等（以下简称各类创新中心），上述中心需经国家相关部委或省级厅局认定。</w:t>
      </w:r>
      <w:r>
        <w:rPr>
          <w:rFonts w:hint="eastAsia" w:cs="仿宋_GB2312"/>
          <w:color w:val="auto"/>
          <w:spacing w:val="-6"/>
          <w:sz w:val="32"/>
          <w:szCs w:val="32"/>
        </w:rPr>
        <w:t>遵守专项资金管理有关规定，能按时、保质保量完成项目任务。</w:t>
      </w:r>
      <w:r>
        <w:rPr>
          <w:rFonts w:hint="eastAsia" w:ascii="仿宋_GB2312" w:hAnsi="仿宋_GB2312" w:eastAsia="仿宋_GB2312" w:cs="仿宋_GB2312"/>
          <w:color w:val="auto"/>
          <w:sz w:val="32"/>
          <w:szCs w:val="32"/>
          <w:lang w:val="en-US" w:eastAsia="zh-CN"/>
        </w:rPr>
        <w:t>牵头单位已经承担</w:t>
      </w:r>
      <w:r>
        <w:rPr>
          <w:rFonts w:hint="eastAsia" w:ascii="仿宋_GB2312" w:hAnsi="仿宋_GB2312" w:cs="仿宋_GB2312"/>
          <w:color w:val="auto"/>
          <w:sz w:val="32"/>
          <w:szCs w:val="32"/>
          <w:lang w:val="en-US" w:eastAsia="zh-CN"/>
        </w:rPr>
        <w:t>省、市同类型</w:t>
      </w:r>
      <w:r>
        <w:rPr>
          <w:rFonts w:hint="eastAsia" w:ascii="仿宋_GB2312" w:hAnsi="仿宋_GB2312" w:eastAsia="仿宋_GB2312" w:cs="仿宋_GB2312"/>
          <w:color w:val="auto"/>
          <w:sz w:val="32"/>
          <w:szCs w:val="32"/>
          <w:lang w:val="en-US" w:eastAsia="zh-CN"/>
        </w:rPr>
        <w:t>项目且尚未验收或验收不合格的，不得申报。</w:t>
      </w:r>
    </w:p>
    <w:p>
      <w:pPr>
        <w:keepNext w:val="0"/>
        <w:keepLines w:val="0"/>
        <w:pageBreakBefore w:val="0"/>
        <w:widowControl/>
        <w:kinsoku/>
        <w:wordWrap/>
        <w:overflowPunct/>
        <w:topLinePunct w:val="0"/>
        <w:bidi w:val="0"/>
        <w:spacing w:line="600" w:lineRule="exact"/>
        <w:ind w:firstLine="640" w:firstLineChars="200"/>
        <w:jc w:val="both"/>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b w:val="0"/>
          <w:bCs/>
          <w:color w:val="auto"/>
          <w:szCs w:val="32"/>
          <w:lang w:val="en-US" w:eastAsia="zh-CN"/>
        </w:rPr>
        <w:t>2.</w:t>
      </w:r>
      <w:r>
        <w:rPr>
          <w:rFonts w:hint="eastAsia" w:ascii="仿宋_GB2312" w:hAnsi="仿宋_GB2312" w:eastAsia="仿宋_GB2312" w:cs="仿宋_GB2312"/>
          <w:color w:val="auto"/>
          <w:sz w:val="32"/>
          <w:szCs w:val="32"/>
        </w:rPr>
        <w:t>各申报单位围绕</w:t>
      </w:r>
      <w:r>
        <w:rPr>
          <w:rFonts w:hint="eastAsia" w:ascii="仿宋_GB2312" w:hAnsi="仿宋_GB2312" w:cs="仿宋_GB2312"/>
          <w:snapToGrid w:val="0"/>
          <w:color w:val="auto"/>
          <w:kern w:val="0"/>
          <w:sz w:val="32"/>
          <w:szCs w:val="32"/>
        </w:rPr>
        <w:t>电子信息、水饮料及食品、先进材料、机械与模具产业等“1+3”产业集群，</w:t>
      </w:r>
      <w:r>
        <w:rPr>
          <w:rFonts w:hint="eastAsia" w:ascii="仿宋_GB2312" w:hAnsi="仿宋_GB2312" w:eastAsia="仿宋_GB2312" w:cs="仿宋_GB2312"/>
          <w:color w:val="auto"/>
          <w:sz w:val="32"/>
          <w:szCs w:val="32"/>
        </w:rPr>
        <w:t>选取某一细分技术领域，开展高价值专利培育。</w:t>
      </w:r>
    </w:p>
    <w:p>
      <w:pPr>
        <w:keepNext w:val="0"/>
        <w:keepLines w:val="0"/>
        <w:pageBreakBefore w:val="0"/>
        <w:widowControl w:val="0"/>
        <w:kinsoku/>
        <w:wordWrap/>
        <w:overflowPunct/>
        <w:topLinePunct w:val="0"/>
        <w:autoSpaceDE w:val="0"/>
        <w:autoSpaceDN w:val="0"/>
        <w:bidi w:val="0"/>
        <w:adjustRightInd/>
        <w:snapToGrid/>
        <w:spacing w:line="600" w:lineRule="exact"/>
        <w:ind w:left="0" w:leftChars="0" w:right="0" w:rightChars="0" w:firstLine="640"/>
        <w:jc w:val="both"/>
        <w:textAlignment w:val="auto"/>
        <w:rPr>
          <w:rFonts w:hint="eastAsia" w:ascii="黑体" w:hAnsi="黑体" w:eastAsia="黑体" w:cs="黑体"/>
          <w:color w:val="auto"/>
          <w:sz w:val="32"/>
          <w:szCs w:val="32"/>
          <w:u w:val="none"/>
          <w:lang w:eastAsia="zh-CN"/>
        </w:rPr>
      </w:pPr>
      <w:r>
        <w:rPr>
          <w:rFonts w:hint="eastAsia" w:ascii="黑体" w:hAnsi="黑体" w:eastAsia="黑体" w:cs="黑体"/>
          <w:color w:val="auto"/>
          <w:sz w:val="32"/>
          <w:szCs w:val="32"/>
          <w:u w:val="none"/>
          <w:lang w:eastAsia="zh-CN"/>
        </w:rPr>
        <w:t>五、申报材料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（一）《</w:t>
      </w:r>
      <w:r>
        <w:rPr>
          <w:rFonts w:hint="eastAsia" w:ascii="仿宋_GB2312" w:eastAsia="仿宋_GB2312" w:cs="仿宋_GB2312"/>
          <w:color w:val="auto"/>
          <w:sz w:val="32"/>
          <w:szCs w:val="32"/>
          <w:shd w:val="clear" w:color="auto" w:fill="FFFFFF"/>
        </w:rPr>
        <w:t>2024年度河源市知识产权促进类项目</w:t>
      </w:r>
      <w:r>
        <w:rPr>
          <w:rFonts w:hint="eastAsia" w:ascii="仿宋_GB2312" w:hAnsi="仿宋_GB2312" w:eastAsia="仿宋_GB2312" w:cs="仿宋_GB2312"/>
          <w:color w:val="222222"/>
          <w:spacing w:val="-17"/>
          <w:sz w:val="32"/>
          <w:szCs w:val="32"/>
          <w:shd w:val="clear" w:color="auto" w:fill="FFFFFF"/>
          <w:lang w:val="en-US" w:eastAsia="zh-CN"/>
        </w:rPr>
        <w:t>申报书</w:t>
      </w:r>
      <w:r>
        <w:rPr>
          <w:rFonts w:hint="eastAsia" w:ascii="仿宋_GB2312" w:hAnsi="仿宋_GB2312" w:eastAsia="仿宋_GB2312" w:cs="仿宋_GB2312"/>
          <w:color w:val="auto"/>
          <w:sz w:val="32"/>
          <w:szCs w:val="32"/>
          <w:u w:val="none"/>
          <w:lang w:val="en-US" w:eastAsia="zh-CN"/>
        </w:rPr>
        <w:t>》</w:t>
      </w:r>
      <w:r>
        <w:rPr>
          <w:rFonts w:hint="eastAsia" w:ascii="仿宋_GB2312" w:hAnsi="仿宋_GB2312" w:cs="仿宋_GB2312"/>
          <w:color w:val="auto"/>
          <w:sz w:val="32"/>
          <w:szCs w:val="32"/>
          <w:u w:val="none"/>
          <w:lang w:val="en-US" w:eastAsia="zh-CN"/>
        </w:rPr>
        <w:t>（以下简称《申报书》）</w:t>
      </w:r>
      <w:r>
        <w:rPr>
          <w:rFonts w:hint="eastAsia" w:ascii="仿宋_GB2312" w:hAnsi="仿宋_GB2312" w:eastAsia="仿宋_GB2312" w:cs="仿宋_GB2312"/>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color w:val="auto"/>
          <w:sz w:val="32"/>
          <w:szCs w:val="32"/>
          <w:u w:val="none"/>
          <w:lang w:val="en-US" w:eastAsia="zh-CN"/>
        </w:rPr>
      </w:pPr>
      <w:r>
        <w:rPr>
          <w:rFonts w:hint="eastAsia" w:ascii="仿宋_GB2312" w:hAnsi="仿宋_GB2312" w:cs="仿宋_GB2312"/>
          <w:color w:val="auto"/>
          <w:sz w:val="32"/>
          <w:szCs w:val="32"/>
          <w:u w:val="none"/>
          <w:lang w:val="en-US" w:eastAsia="zh-CN"/>
        </w:rPr>
        <w:t>（二）单位营业执照等法人资格证、银行开户许可证复印件；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color w:val="auto"/>
          <w:sz w:val="32"/>
          <w:szCs w:val="32"/>
          <w:highlight w:val="none"/>
        </w:rPr>
      </w:pPr>
      <w:r>
        <w:rPr>
          <w:rFonts w:hint="eastAsia"/>
          <w:color w:val="auto"/>
          <w:sz w:val="32"/>
          <w:szCs w:val="32"/>
          <w:highlight w:val="none"/>
          <w:lang w:eastAsia="zh-CN"/>
        </w:rPr>
        <w:t>（</w:t>
      </w:r>
      <w:r>
        <w:rPr>
          <w:rFonts w:hint="eastAsia"/>
          <w:color w:val="auto"/>
          <w:sz w:val="32"/>
          <w:szCs w:val="32"/>
          <w:highlight w:val="none"/>
          <w:lang w:val="en-US" w:eastAsia="zh-CN"/>
        </w:rPr>
        <w:t>三</w:t>
      </w:r>
      <w:r>
        <w:rPr>
          <w:rFonts w:hint="eastAsia"/>
          <w:color w:val="auto"/>
          <w:sz w:val="32"/>
          <w:szCs w:val="32"/>
          <w:highlight w:val="none"/>
          <w:lang w:eastAsia="zh-CN"/>
        </w:rPr>
        <w:t>）</w:t>
      </w:r>
      <w:r>
        <w:rPr>
          <w:rFonts w:hint="eastAsia"/>
          <w:color w:val="auto"/>
          <w:sz w:val="32"/>
          <w:szCs w:val="32"/>
          <w:highlight w:val="none"/>
        </w:rPr>
        <w:t>国家部委或省级厅局认定各类创新中心的红头文件</w:t>
      </w:r>
      <w:r>
        <w:rPr>
          <w:rFonts w:hint="eastAsia"/>
          <w:color w:val="auto"/>
          <w:sz w:val="32"/>
          <w:szCs w:val="32"/>
          <w:highlight w:val="none"/>
          <w:lang w:eastAsia="zh-CN"/>
        </w:rPr>
        <w:t>及其有效性证明材料</w:t>
      </w:r>
      <w:r>
        <w:rPr>
          <w:rFonts w:hint="eastAsia"/>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color w:val="auto"/>
          <w:lang w:val="en-US" w:eastAsia="zh-CN"/>
        </w:rPr>
      </w:pP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四</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u w:val="none"/>
          <w:lang w:val="en-US" w:eastAsia="zh-CN"/>
        </w:rPr>
        <w:t>相关资质和经验证明材料；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color w:val="auto"/>
          <w:sz w:val="32"/>
          <w:szCs w:val="32"/>
          <w:u w:val="none"/>
          <w:lang w:val="en-US" w:eastAsia="zh-CN"/>
        </w:rPr>
      </w:pPr>
      <w:r>
        <w:rPr>
          <w:rFonts w:hint="eastAsia" w:ascii="仿宋_GB2312" w:hAnsi="仿宋_GB2312" w:cs="仿宋_GB2312"/>
          <w:color w:val="auto"/>
          <w:sz w:val="32"/>
          <w:szCs w:val="32"/>
          <w:u w:val="none"/>
          <w:lang w:val="en-US" w:eastAsia="zh-CN"/>
        </w:rPr>
        <w:t>（五）近两年的财务报表；</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color w:val="auto"/>
          <w:sz w:val="32"/>
          <w:szCs w:val="32"/>
          <w:u w:val="none"/>
          <w:lang w:val="en-US" w:eastAsia="zh-CN"/>
        </w:rPr>
      </w:pPr>
      <w:r>
        <w:rPr>
          <w:rFonts w:hint="eastAsia" w:ascii="仿宋_GB2312" w:hAnsi="仿宋_GB2312" w:cs="仿宋_GB2312"/>
          <w:color w:val="auto"/>
          <w:sz w:val="32"/>
          <w:szCs w:val="32"/>
          <w:u w:val="none"/>
          <w:lang w:val="en-US" w:eastAsia="zh-CN"/>
        </w:rPr>
        <w:t>（六）真实性承诺函；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color w:val="auto"/>
          <w:sz w:val="32"/>
          <w:szCs w:val="32"/>
          <w:u w:val="none"/>
          <w:lang w:val="en-US" w:eastAsia="zh-CN"/>
        </w:rPr>
      </w:pPr>
      <w:r>
        <w:rPr>
          <w:rFonts w:hint="eastAsia" w:ascii="仿宋_GB2312" w:hAnsi="仿宋_GB2312" w:cs="仿宋_GB2312"/>
          <w:color w:val="auto"/>
          <w:sz w:val="32"/>
          <w:szCs w:val="32"/>
          <w:u w:val="none"/>
          <w:lang w:val="en-US" w:eastAsia="zh-CN"/>
        </w:rPr>
        <w:t>（七）其他证明申报单位条件及优势的佐证材料。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color w:val="auto"/>
          <w:sz w:val="32"/>
          <w:szCs w:val="32"/>
          <w:u w:val="none"/>
          <w:lang w:val="en-US" w:eastAsia="zh-CN"/>
        </w:rPr>
      </w:pPr>
      <w:r>
        <w:rPr>
          <w:rFonts w:hint="eastAsia" w:ascii="仿宋_GB2312" w:hAnsi="仿宋_GB2312" w:cs="仿宋_GB2312"/>
          <w:color w:val="auto"/>
          <w:sz w:val="32"/>
          <w:szCs w:val="32"/>
          <w:u w:val="none"/>
          <w:lang w:val="en-US" w:eastAsia="zh-CN"/>
        </w:rPr>
        <w:t>上述材料均需加盖公章并在《申报书》加盖骑缝章。</w:t>
      </w:r>
    </w:p>
    <w:p>
      <w:pPr>
        <w:keepNext w:val="0"/>
        <w:keepLines w:val="0"/>
        <w:pageBreakBefore w:val="0"/>
        <w:numPr>
          <w:ilvl w:val="0"/>
          <w:numId w:val="0"/>
        </w:numPr>
        <w:kinsoku/>
        <w:wordWrap/>
        <w:overflowPunct/>
        <w:topLinePunct w:val="0"/>
        <w:bidi w:val="0"/>
        <w:spacing w:beforeLines="0" w:afterLines="0" w:line="600" w:lineRule="exact"/>
        <w:ind w:firstLine="640" w:firstLineChars="200"/>
        <w:textAlignment w:val="auto"/>
        <w:rPr>
          <w:rFonts w:hint="default" w:ascii="黑体" w:hAnsi="黑体" w:eastAsia="黑体"/>
          <w:color w:val="auto"/>
          <w:sz w:val="32"/>
          <w:lang w:val="en-US" w:eastAsia="zh-CN"/>
        </w:rPr>
      </w:pPr>
      <w:r>
        <w:rPr>
          <w:rFonts w:hint="eastAsia" w:ascii="黑体" w:hAnsi="黑体" w:eastAsia="黑体"/>
          <w:color w:val="auto"/>
          <w:sz w:val="32"/>
          <w:lang w:eastAsia="zh-CN"/>
        </w:rPr>
        <w:t>六、实施周期及支持方式</w:t>
      </w:r>
    </w:p>
    <w:p>
      <w:pPr>
        <w:keepNext w:val="0"/>
        <w:keepLines w:val="0"/>
        <w:pageBreakBefore w:val="0"/>
        <w:numPr>
          <w:ilvl w:val="0"/>
          <w:numId w:val="0"/>
        </w:numPr>
        <w:kinsoku/>
        <w:wordWrap/>
        <w:overflowPunct/>
        <w:topLinePunct w:val="0"/>
        <w:bidi w:val="0"/>
        <w:spacing w:beforeLines="0" w:afterLines="0" w:line="600" w:lineRule="exact"/>
        <w:ind w:firstLine="640" w:firstLineChars="200"/>
        <w:textAlignment w:val="auto"/>
        <w:rPr>
          <w:color w:val="auto"/>
        </w:rPr>
      </w:pPr>
      <w:r>
        <w:rPr>
          <w:rFonts w:hint="eastAsia" w:ascii="仿宋_GB2312" w:hAnsi="仿宋_GB2312" w:eastAsia="仿宋_GB2312" w:cs="仿宋_GB2312"/>
          <w:color w:val="auto"/>
          <w:sz w:val="32"/>
          <w:lang w:eastAsia="zh-CN"/>
        </w:rPr>
        <w:t>项目实施周期为</w:t>
      </w:r>
      <w:r>
        <w:rPr>
          <w:rFonts w:hint="eastAsia" w:ascii="仿宋_GB2312" w:hAnsi="仿宋_GB2312" w:eastAsia="仿宋_GB2312" w:cs="仿宋_GB2312"/>
          <w:color w:val="auto"/>
          <w:sz w:val="32"/>
          <w:lang w:val="en-US" w:eastAsia="zh-CN"/>
        </w:rPr>
        <w:t>1年，立项</w:t>
      </w:r>
      <w:r>
        <w:rPr>
          <w:rFonts w:hint="eastAsia" w:ascii="仿宋_GB2312" w:hAnsi="仿宋_GB2312" w:cs="仿宋_GB2312"/>
          <w:color w:val="auto"/>
          <w:sz w:val="32"/>
          <w:lang w:val="en-US" w:eastAsia="zh-CN"/>
        </w:rPr>
        <w:t>2</w:t>
      </w:r>
      <w:r>
        <w:rPr>
          <w:rFonts w:hint="eastAsia" w:ascii="仿宋_GB2312" w:hAnsi="仿宋_GB2312" w:eastAsia="仿宋_GB2312" w:cs="仿宋_GB2312"/>
          <w:color w:val="auto"/>
          <w:sz w:val="32"/>
          <w:lang w:val="en-US" w:eastAsia="zh-CN"/>
        </w:rPr>
        <w:t>项，每项预计</w:t>
      </w:r>
      <w:r>
        <w:rPr>
          <w:rFonts w:hint="eastAsia" w:ascii="仿宋_GB2312" w:hAnsi="仿宋_GB2312" w:cs="仿宋_GB2312"/>
          <w:color w:val="auto"/>
          <w:sz w:val="32"/>
          <w:lang w:val="en-US" w:eastAsia="zh-CN"/>
        </w:rPr>
        <w:t>3</w:t>
      </w:r>
      <w:r>
        <w:rPr>
          <w:rFonts w:hint="eastAsia" w:ascii="仿宋_GB2312" w:hAnsi="仿宋_GB2312" w:eastAsia="仿宋_GB2312" w:cs="仿宋_GB2312"/>
          <w:color w:val="auto"/>
          <w:sz w:val="32"/>
          <w:lang w:val="en-US" w:eastAsia="zh-CN"/>
        </w:rPr>
        <w:t>0万元。</w:t>
      </w:r>
    </w:p>
    <w:sectPr>
      <w:headerReference r:id="rId3" w:type="default"/>
      <w:footerReference r:id="rId5" w:type="default"/>
      <w:headerReference r:id="rId4" w:type="even"/>
      <w:footerReference r:id="rId6"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小标宋">
    <w:altName w:val="宋体"/>
    <w:panose1 w:val="00000000000000000000"/>
    <w:charset w:val="86"/>
    <w:family w:val="script"/>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7"/>
        <w:sz w:val="28"/>
      </w:rPr>
    </w:pPr>
    <w:r>
      <w:rPr>
        <w:rStyle w:val="7"/>
        <w:rFonts w:hint="eastAsia"/>
        <w:sz w:val="28"/>
      </w:rPr>
      <w:t>—</w:t>
    </w:r>
    <w:r>
      <w:rPr>
        <w:sz w:val="28"/>
      </w:rPr>
      <w:fldChar w:fldCharType="begin"/>
    </w:r>
    <w:r>
      <w:rPr>
        <w:rStyle w:val="7"/>
        <w:sz w:val="28"/>
      </w:rPr>
      <w:instrText xml:space="preserve">PAGE  </w:instrText>
    </w:r>
    <w:r>
      <w:rPr>
        <w:sz w:val="28"/>
      </w:rPr>
      <w:fldChar w:fldCharType="separate"/>
    </w:r>
    <w:r>
      <w:rPr>
        <w:rStyle w:val="7"/>
        <w:sz w:val="28"/>
      </w:rPr>
      <w:t>102</w:t>
    </w:r>
    <w:r>
      <w:rPr>
        <w:sz w:val="28"/>
      </w:rPr>
      <w:fldChar w:fldCharType="end"/>
    </w:r>
    <w:r>
      <w:rPr>
        <w:rStyle w:val="7"/>
        <w:rFonts w:hint="eastAsia"/>
        <w:sz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hYTM1YTE4MzA2NDYxYTlhMThjY2ExZWJmOGExZjYifQ=="/>
  </w:docVars>
  <w:rsids>
    <w:rsidRoot w:val="000320CC"/>
    <w:rsid w:val="000148F9"/>
    <w:rsid w:val="000320CC"/>
    <w:rsid w:val="000E7881"/>
    <w:rsid w:val="00111BF5"/>
    <w:rsid w:val="0017764C"/>
    <w:rsid w:val="00224949"/>
    <w:rsid w:val="002878F0"/>
    <w:rsid w:val="002B229D"/>
    <w:rsid w:val="002B34A7"/>
    <w:rsid w:val="00627926"/>
    <w:rsid w:val="006C00D4"/>
    <w:rsid w:val="00820790"/>
    <w:rsid w:val="008A6519"/>
    <w:rsid w:val="008D1709"/>
    <w:rsid w:val="0092048F"/>
    <w:rsid w:val="00C324C3"/>
    <w:rsid w:val="00CB77A6"/>
    <w:rsid w:val="00EC7F04"/>
    <w:rsid w:val="00F753F7"/>
    <w:rsid w:val="017A42D3"/>
    <w:rsid w:val="021E3365"/>
    <w:rsid w:val="060A6CFC"/>
    <w:rsid w:val="073B5E80"/>
    <w:rsid w:val="07DE2D15"/>
    <w:rsid w:val="08126E54"/>
    <w:rsid w:val="0A426632"/>
    <w:rsid w:val="0BD14BED"/>
    <w:rsid w:val="0C38300E"/>
    <w:rsid w:val="0CB82E28"/>
    <w:rsid w:val="0D0F4DB2"/>
    <w:rsid w:val="0D914A9E"/>
    <w:rsid w:val="0E225CAC"/>
    <w:rsid w:val="0F553BD6"/>
    <w:rsid w:val="100D7898"/>
    <w:rsid w:val="107C3AA0"/>
    <w:rsid w:val="121A1D89"/>
    <w:rsid w:val="132E6A81"/>
    <w:rsid w:val="132F11F7"/>
    <w:rsid w:val="15E676AD"/>
    <w:rsid w:val="16606874"/>
    <w:rsid w:val="19967654"/>
    <w:rsid w:val="1C95499C"/>
    <w:rsid w:val="1E5C75B0"/>
    <w:rsid w:val="1EA6791F"/>
    <w:rsid w:val="25214F9F"/>
    <w:rsid w:val="26157631"/>
    <w:rsid w:val="28652C33"/>
    <w:rsid w:val="28AA1092"/>
    <w:rsid w:val="28AD1BD7"/>
    <w:rsid w:val="29094DB7"/>
    <w:rsid w:val="2A6D7836"/>
    <w:rsid w:val="2D0231D5"/>
    <w:rsid w:val="2D1C5A6A"/>
    <w:rsid w:val="2E3D58F0"/>
    <w:rsid w:val="2E982BA6"/>
    <w:rsid w:val="30D73E16"/>
    <w:rsid w:val="31F621F8"/>
    <w:rsid w:val="32167EE2"/>
    <w:rsid w:val="332C6668"/>
    <w:rsid w:val="33A279DD"/>
    <w:rsid w:val="33B639F3"/>
    <w:rsid w:val="34E7618C"/>
    <w:rsid w:val="35135E14"/>
    <w:rsid w:val="35547441"/>
    <w:rsid w:val="39741E0A"/>
    <w:rsid w:val="3B1041D8"/>
    <w:rsid w:val="3E613BED"/>
    <w:rsid w:val="3F7C5376"/>
    <w:rsid w:val="3FA97C38"/>
    <w:rsid w:val="40474FDB"/>
    <w:rsid w:val="404C6D19"/>
    <w:rsid w:val="4143775A"/>
    <w:rsid w:val="41883839"/>
    <w:rsid w:val="42142DE6"/>
    <w:rsid w:val="430354EC"/>
    <w:rsid w:val="43E32B05"/>
    <w:rsid w:val="445D6820"/>
    <w:rsid w:val="4CA40823"/>
    <w:rsid w:val="4D3B1192"/>
    <w:rsid w:val="4FD95215"/>
    <w:rsid w:val="4FF6012D"/>
    <w:rsid w:val="500B5A17"/>
    <w:rsid w:val="508013EB"/>
    <w:rsid w:val="53B214EB"/>
    <w:rsid w:val="541B261A"/>
    <w:rsid w:val="551C6A7B"/>
    <w:rsid w:val="558C567D"/>
    <w:rsid w:val="57DF3CBF"/>
    <w:rsid w:val="584E296C"/>
    <w:rsid w:val="59366698"/>
    <w:rsid w:val="5BB7F5B0"/>
    <w:rsid w:val="5DF35D7F"/>
    <w:rsid w:val="5E0A7FE5"/>
    <w:rsid w:val="5E924C34"/>
    <w:rsid w:val="636D4F67"/>
    <w:rsid w:val="63BC5870"/>
    <w:rsid w:val="64FC2197"/>
    <w:rsid w:val="66582010"/>
    <w:rsid w:val="66AE40C7"/>
    <w:rsid w:val="687B024A"/>
    <w:rsid w:val="6A441A21"/>
    <w:rsid w:val="6B02528A"/>
    <w:rsid w:val="6EB26A69"/>
    <w:rsid w:val="6F106AB7"/>
    <w:rsid w:val="6F1D5DCC"/>
    <w:rsid w:val="6F646128"/>
    <w:rsid w:val="6FBA6CFD"/>
    <w:rsid w:val="71ED3CBE"/>
    <w:rsid w:val="72364D7B"/>
    <w:rsid w:val="72BD4C66"/>
    <w:rsid w:val="742A636D"/>
    <w:rsid w:val="76191A44"/>
    <w:rsid w:val="77DDC52A"/>
    <w:rsid w:val="787C3A13"/>
    <w:rsid w:val="7EC61E5A"/>
    <w:rsid w:val="AD5D93B4"/>
    <w:rsid w:val="AFFAFFBE"/>
    <w:rsid w:val="FF5F88A1"/>
    <w:rsid w:val="FFED0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8">
    <w:name w:val="样式1 Char"/>
    <w:link w:val="9"/>
    <w:qFormat/>
    <w:uiPriority w:val="0"/>
    <w:rPr>
      <w:rFonts w:ascii="小标宋" w:hAnsi="宋体" w:eastAsia="小标宋"/>
      <w:b/>
      <w:color w:val="000000"/>
      <w:sz w:val="44"/>
      <w:szCs w:val="44"/>
    </w:rPr>
  </w:style>
  <w:style w:type="paragraph" w:customStyle="1" w:styleId="9">
    <w:name w:val="样式1"/>
    <w:basedOn w:val="2"/>
    <w:link w:val="8"/>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cstheme="minorBidi"/>
      <w:bCs w:val="0"/>
      <w:color w:val="000000"/>
      <w:kern w:val="2"/>
    </w:rPr>
  </w:style>
  <w:style w:type="character" w:customStyle="1" w:styleId="10">
    <w:name w:val="标题 1 Char"/>
    <w:basedOn w:val="6"/>
    <w:link w:val="2"/>
    <w:qFormat/>
    <w:uiPriority w:val="9"/>
    <w:rPr>
      <w:rFonts w:ascii="Times New Roman" w:hAnsi="Times New Roman" w:eastAsia="仿宋_GB2312" w:cs="Times New Roman"/>
      <w:b/>
      <w:bCs/>
      <w:kern w:val="44"/>
      <w:sz w:val="44"/>
      <w:szCs w:val="44"/>
    </w:rPr>
  </w:style>
  <w:style w:type="character" w:customStyle="1" w:styleId="11">
    <w:name w:val="页眉 Char"/>
    <w:basedOn w:val="6"/>
    <w:link w:val="4"/>
    <w:qFormat/>
    <w:uiPriority w:val="99"/>
    <w:rPr>
      <w:rFonts w:ascii="Times New Roman" w:hAnsi="Times New Roman" w:eastAsia="仿宋_GB2312" w:cs="Times New Roman"/>
      <w:sz w:val="18"/>
      <w:szCs w:val="18"/>
    </w:rPr>
  </w:style>
  <w:style w:type="character" w:customStyle="1" w:styleId="12">
    <w:name w:val="页脚 Char"/>
    <w:basedOn w:val="6"/>
    <w:link w:val="3"/>
    <w:qFormat/>
    <w:uiPriority w:val="99"/>
    <w:rPr>
      <w:rFonts w:ascii="Times New Roman" w:hAnsi="Times New Roman" w:eastAsia="仿宋_GB2312" w:cs="Times New Roman"/>
      <w:sz w:val="18"/>
      <w:szCs w:val="18"/>
    </w:rPr>
  </w:style>
  <w:style w:type="paragraph" w:customStyle="1" w:styleId="13">
    <w:name w:val="正文 New"/>
    <w:qFormat/>
    <w:uiPriority w:val="0"/>
    <w:pPr>
      <w:widowControl w:val="0"/>
      <w:jc w:val="both"/>
    </w:pPr>
    <w:rPr>
      <w:rFonts w:ascii="Calibri" w:hAnsi="Calibri" w:eastAsia="仿宋_GB2312" w:cs="Times New Roman"/>
      <w:kern w:val="2"/>
      <w:sz w:val="32"/>
      <w:lang w:val="en-US" w:eastAsia="zh-CN" w:bidi="ar-SA"/>
    </w:rPr>
  </w:style>
  <w:style w:type="paragraph" w:customStyle="1" w:styleId="14">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黑体"/>
      <w:kern w:val="0"/>
      <w:sz w:val="52"/>
      <w:szCs w:val="52"/>
      <w:lang w:val="en-US" w:eastAsia="zh-CN" w:bidi="ar-SA"/>
    </w:rPr>
  </w:style>
  <w:style w:type="character" w:customStyle="1" w:styleId="15">
    <w:name w:val="正文首空2 Char"/>
    <w:link w:val="16"/>
    <w:qFormat/>
    <w:uiPriority w:val="0"/>
  </w:style>
  <w:style w:type="paragraph" w:customStyle="1" w:styleId="16">
    <w:name w:val="正文首空2"/>
    <w:basedOn w:val="1"/>
    <w:link w:val="15"/>
    <w:qFormat/>
    <w:uiPriority w:val="0"/>
    <w:pPr>
      <w:ind w:firstLine="200" w:firstLineChars="200"/>
    </w:pPr>
  </w:style>
  <w:style w:type="paragraph" w:customStyle="1" w:styleId="17">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1145</Words>
  <Characters>1152</Characters>
  <Lines>26</Lines>
  <Paragraphs>7</Paragraphs>
  <TotalTime>0</TotalTime>
  <ScaleCrop>false</ScaleCrop>
  <LinksUpToDate>false</LinksUpToDate>
  <CharactersWithSpaces>1152</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2019-05-24T10:50:00Z</dcterms:created>
  <dc:creator>wang kis</dc:creator>
  <cp:lastModifiedBy>dxkj</cp:lastModifiedBy>
  <cp:lastPrinted>2021-11-26T15:34:00Z</cp:lastPrinted>
  <dcterms:modified xsi:type="dcterms:W3CDTF">2024-01-22T16:02:26Z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F49CF9035232425DAEB8C239ED6CD016_13</vt:lpwstr>
  </property>
</Properties>
</file>