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意见汇总表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4575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意见及建议</w:t>
            </w:r>
          </w:p>
        </w:tc>
        <w:tc>
          <w:tcPr>
            <w:tcW w:w="24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</w:trPr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建议加大节水型单位的奖励力度。</w:t>
            </w:r>
          </w:p>
        </w:tc>
        <w:tc>
          <w:tcPr>
            <w:tcW w:w="2472" w:type="dxa"/>
            <w:vAlign w:val="top"/>
          </w:tcPr>
          <w:p>
            <w:pPr>
              <w:pStyle w:val="2"/>
              <w:widowControl/>
              <w:shd w:val="clear" w:color="auto" w:fill="FFFFFF"/>
              <w:spacing w:line="360" w:lineRule="auto"/>
              <w:ind w:firstLine="600" w:firstLineChars="200"/>
              <w:jc w:val="both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采纳。根据《办法》第八条“</w:t>
            </w:r>
            <w:r>
              <w:rPr>
                <w:rFonts w:hint="eastAsia" w:ascii="仿宋" w:hAnsi="仿宋" w:eastAsia="仿宋" w:cs="仿宋"/>
                <w:color w:val="040404"/>
                <w:sz w:val="32"/>
                <w:szCs w:val="32"/>
                <w:shd w:val="clear" w:color="auto" w:fill="FFFFFF"/>
              </w:rPr>
              <w:t>（一）节水先进个人奖：按照最高2000元/人给予奖励；（二）节水型居民小区奖：按照最高20000元/个给予奖励；（三）节水型企业（单位）奖：按照节水量确定，每1立方米节水量奖励1元，最高奖励10万元。节水量根据相同生产生活规模下，企业（单位）达到节水型企业（单位）标准后与达标前1年同期3个月的实际用水量差额进行计算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”。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建议简化节水奖励的流程。</w:t>
            </w:r>
          </w:p>
        </w:tc>
        <w:tc>
          <w:tcPr>
            <w:tcW w:w="2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采纳。根据《办法》第十一条对审核程序五个流程进行规定。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376BD"/>
    <w:rsid w:val="05520D16"/>
    <w:rsid w:val="07A553B3"/>
    <w:rsid w:val="0E53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2024-01-03T02:00:00Z</dcterms:created>
  <dc:creator>林珊</dc:creator>
  <cp:lastModifiedBy>林珊</cp:lastModifiedBy>
  <dcterms:modified xsi:type="dcterms:W3CDTF">2024-01-03T02:28:16Z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8B14193B109F4517B6B643368B4C0A78</vt:lpwstr>
  </property>
</Properties>
</file>