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意见汇总表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"/>
        <w:gridCol w:w="4200"/>
        <w:gridCol w:w="36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9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42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  <w:t>意见及建议</w:t>
            </w:r>
          </w:p>
        </w:tc>
        <w:tc>
          <w:tcPr>
            <w:tcW w:w="36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  <w:t>采纳情况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3" w:hRule="atLeast"/>
        </w:trPr>
        <w:tc>
          <w:tcPr>
            <w:tcW w:w="9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42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</w:rPr>
              <w:t>关于再生水设施的建设制度的规定，是必须配套建设还是可以选择建或不建？</w:t>
            </w:r>
          </w:p>
        </w:tc>
        <w:tc>
          <w:tcPr>
            <w:tcW w:w="36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</w:rPr>
              <w:t>采纳。《办法》规定：单体建筑面积超过二万平方米以及其他符合国家、省规定条件的新建公共建筑，应当按规定安装建设雨水净化、渗透、收集系统或者再生水利用设施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3" w:hRule="atLeast"/>
        </w:trPr>
        <w:tc>
          <w:tcPr>
            <w:tcW w:w="9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42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</w:rPr>
              <w:t>关于再生水水源的来源的规定，“电镀、化工、印染等有毒有害的工业废水”不是应该严禁作为再生水水源？</w:t>
            </w:r>
          </w:p>
        </w:tc>
        <w:tc>
          <w:tcPr>
            <w:tcW w:w="36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</w:rPr>
              <w:t>采纳。《办法》规定：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本办法所称再生水，是指对污水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eastAsia="zh-CN"/>
              </w:rPr>
              <w:t>经适当再生工艺处理后，达到一定的水质标准，满足某种使用功能要求，可以进行有益使用的水，污水包括生活污水、生产废水和在合流制排水系统中截流的雨水。</w:t>
            </w:r>
          </w:p>
        </w:tc>
      </w:tr>
    </w:tbl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1917B6"/>
    <w:rsid w:val="05520D16"/>
    <w:rsid w:val="39191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河源市水务局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2024-01-03T01:57:00Z</dcterms:created>
  <dc:creator>林珊</dc:creator>
  <cp:lastModifiedBy>林珊</cp:lastModifiedBy>
  <dcterms:modified xsi:type="dcterms:W3CDTF">2024-01-03T01:58:02Z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D144CFA01B834DF9B9A295CDFDD0EB79</vt:lpwstr>
  </property>
</Properties>
</file>