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创艺简标宋" w:hAnsi="创艺简标宋" w:eastAsia="创艺简标宋" w:cs="创艺简标宋"/>
          <w:bCs/>
          <w:sz w:val="44"/>
          <w:szCs w:val="44"/>
        </w:rPr>
      </w:pPr>
      <w:bookmarkStart w:id="0" w:name="_Hlk490732728"/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关于《河源市</w:t>
      </w:r>
      <w:r>
        <w:rPr>
          <w:rFonts w:hint="eastAsia" w:ascii="创艺简标宋" w:hAnsi="创艺简标宋" w:eastAsia="创艺简标宋" w:cs="创艺简标宋"/>
          <w:bCs/>
          <w:sz w:val="44"/>
          <w:szCs w:val="44"/>
          <w:lang w:eastAsia="zh-CN"/>
        </w:rPr>
        <w:t>新丰江水库水质保护</w:t>
      </w:r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条例</w:t>
      </w:r>
    </w:p>
    <w:p>
      <w:pPr>
        <w:spacing w:line="600" w:lineRule="exact"/>
        <w:jc w:val="center"/>
        <w:rPr>
          <w:rFonts w:hint="eastAsia" w:ascii="创艺简标宋" w:hAnsi="创艺简标宋" w:eastAsia="创艺简标宋" w:cs="创艺简标宋"/>
          <w:bCs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（</w:t>
      </w:r>
      <w:r>
        <w:rPr>
          <w:rFonts w:hint="eastAsia" w:ascii="创艺简标宋" w:hAnsi="创艺简标宋" w:eastAsia="创艺简标宋" w:cs="创艺简标宋"/>
          <w:bCs/>
          <w:sz w:val="44"/>
          <w:szCs w:val="44"/>
          <w:lang w:eastAsia="zh-CN"/>
        </w:rPr>
        <w:t>送审稿</w:t>
      </w:r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）》的起草说明</w:t>
      </w:r>
      <w:bookmarkEnd w:id="0"/>
    </w:p>
    <w:p>
      <w:pPr>
        <w:spacing w:line="500" w:lineRule="exact"/>
        <w:ind w:firstLine="640" w:firstLineChars="200"/>
        <w:jc w:val="center"/>
        <w:rPr>
          <w:rFonts w:ascii="仿宋" w:hAnsi="仿宋" w:eastAsia="仿宋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《河源市人大常委会2023年立法工作计划》将</w:t>
      </w:r>
      <w:r>
        <w:rPr>
          <w:rFonts w:hint="eastAsia" w:ascii="宋体" w:hAnsi="宋体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新丰江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水库水质保护立法列入了2023年的预备项目。为积极贯彻落实省委书记黄坤明在河源调研指示精神，今年初，市委、市人大常委会和市政府将</w:t>
      </w:r>
      <w:r>
        <w:rPr>
          <w:rFonts w:hint="eastAsia" w:ascii="宋体" w:hAnsi="宋体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新丰江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水库水质保护立法列入正式项目提前启动，成立了立法工作专班，由我局负责法规送审稿起草工作。</w:t>
      </w:r>
      <w:r>
        <w:rPr>
          <w:rFonts w:hint="eastAsia" w:ascii="仿宋_GB2312" w:hAnsi="仿宋_GB2312" w:cs="仿宋_GB2312"/>
          <w:szCs w:val="32"/>
        </w:rPr>
        <w:t>现就《条例（</w:t>
      </w:r>
      <w:r>
        <w:rPr>
          <w:rFonts w:hint="eastAsia" w:ascii="仿宋_GB2312" w:hAnsi="仿宋_GB2312" w:cs="仿宋_GB2312"/>
          <w:szCs w:val="32"/>
          <w:lang w:eastAsia="zh-CN"/>
        </w:rPr>
        <w:t>送审稿</w:t>
      </w:r>
      <w:r>
        <w:rPr>
          <w:rFonts w:hint="eastAsia" w:ascii="仿宋_GB2312" w:hAnsi="仿宋_GB2312" w:cs="仿宋_GB2312"/>
          <w:szCs w:val="32"/>
        </w:rPr>
        <w:t>）》作如下说明：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一、立法的必要性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新丰江水库（万绿湖）主要位于我市东源县境内，总库容量139亿立方米，水域面积370平方公里，多年年均进出库水量为61亿立方米，是全国十大水库之一和华南第一大湖。水库汇水区地跨广东河源、韶关、惠州三市，我市范围内涉及源城、东源、和平和连平四个县（区），总面积约5814平方公里，其中河源4500平方公里，韶关1313平方公里，惠州1平方公里，主要一级入库支流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新丰水、忠信河、连平水、船塘河、骆湖水、灯塔水、林石河、大席水、崧头河、高陂水、大湖水、南坑溪以及恶马坑等13条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  <w:r>
        <w:rPr>
          <w:rFonts w:hint="eastAsia" w:ascii="宋体" w:hAnsi="宋体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新丰江水库水质长期稳定保持地表水Ⅰ类标准，是东江最重要的水源之一，也是东江中下游城市及香港等地四千多万人最重要的饮用水水源，被誉为“粤港水塔”，先后获评“中国优质饮用水资源开发基地”、首批“中国好水”水源地和“2021年广东省十大美丽河湖”等荣誉称号，新丰江水库水质保护意义重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新丰江水库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优良</w:t>
      </w:r>
      <w:r>
        <w:rPr>
          <w:rFonts w:hint="eastAsia" w:ascii="宋体" w:hAnsi="宋体" w:eastAsia="仿宋_GB2312" w:cs="仿宋_GB2312"/>
          <w:sz w:val="32"/>
          <w:szCs w:val="32"/>
        </w:rPr>
        <w:t>水质来之不易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随着东江流域经济社会快速发展，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新丰江水库及其主要支流水质保护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工作、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遏制氮磷污染</w:t>
      </w:r>
      <w:r>
        <w:rPr>
          <w:rFonts w:hint="eastAsia" w:ascii="宋体" w:hAnsi="宋体" w:eastAsia="仿宋_GB2312" w:cs="仿宋_GB2312"/>
          <w:sz w:val="32"/>
          <w:szCs w:val="32"/>
        </w:rPr>
        <w:t>面临巨大的压力，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水库</w:t>
      </w:r>
      <w:r>
        <w:rPr>
          <w:rFonts w:hint="eastAsia" w:ascii="宋体" w:hAnsi="宋体" w:eastAsia="仿宋_GB2312" w:cs="仿宋_GB2312"/>
          <w:sz w:val="32"/>
          <w:szCs w:val="32"/>
        </w:rPr>
        <w:t>水质安全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形势</w:t>
      </w:r>
      <w:r>
        <w:rPr>
          <w:rFonts w:hint="eastAsia" w:ascii="宋体" w:hAnsi="宋体" w:eastAsia="仿宋_GB2312" w:cs="仿宋_GB2312"/>
          <w:sz w:val="32"/>
          <w:szCs w:val="32"/>
        </w:rPr>
        <w:t>不容乐观。新丰江水库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流域</w:t>
      </w:r>
      <w:r>
        <w:rPr>
          <w:rFonts w:hint="eastAsia" w:ascii="宋体" w:hAnsi="宋体" w:eastAsia="仿宋_GB2312" w:cs="仿宋_GB2312"/>
          <w:sz w:val="32"/>
          <w:szCs w:val="32"/>
        </w:rPr>
        <w:t>面临多种污染隐患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畜禽养殖、农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业种植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、桉树种植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等带来的污染物和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生活垃圾、生活污水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通过立法统筹推进新丰江水库水质保护，是推进生态文明建设的需要，也是确保具有战略地位的水库水质长久安全的需要。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二、立法依据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《条例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（送审稿）</w:t>
      </w:r>
      <w:r>
        <w:rPr>
          <w:rFonts w:hint="eastAsia" w:ascii="仿宋" w:hAnsi="仿宋" w:eastAsia="仿宋" w:cs="仿宋"/>
          <w:sz w:val="32"/>
          <w:szCs w:val="32"/>
        </w:rPr>
        <w:t>》的起草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的依据主要</w:t>
      </w:r>
      <w:r>
        <w:rPr>
          <w:rFonts w:hint="eastAsia" w:ascii="仿宋" w:hAnsi="仿宋" w:eastAsia="仿宋" w:cs="仿宋"/>
          <w:sz w:val="32"/>
          <w:szCs w:val="32"/>
        </w:rPr>
        <w:t>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水污染防治法》《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水法》等法律法规。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三、《条例（</w:t>
      </w:r>
      <w:r>
        <w:rPr>
          <w:rFonts w:hint="eastAsia" w:ascii="黑体" w:hAnsi="黑体" w:eastAsia="黑体" w:cs="黑体"/>
          <w:kern w:val="0"/>
          <w:szCs w:val="32"/>
          <w:lang w:eastAsia="zh-CN" w:bidi="ar"/>
        </w:rPr>
        <w:t>送审稿</w:t>
      </w:r>
      <w:r>
        <w:rPr>
          <w:rFonts w:hint="eastAsia" w:ascii="黑体" w:hAnsi="黑体" w:eastAsia="黑体" w:cs="黑体"/>
          <w:kern w:val="0"/>
          <w:szCs w:val="32"/>
          <w:lang w:bidi="ar"/>
        </w:rPr>
        <w:t>）》起草过程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我市全力推进河源市新丰江水库水质保护立法工作，深入开展立法前期调研。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先后到省内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汕尾、湛江、茂名等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水库水质保护</w:t>
      </w:r>
      <w:r>
        <w:rPr>
          <w:rFonts w:hint="eastAsia" w:ascii="仿宋" w:hAnsi="仿宋" w:eastAsia="仿宋" w:cs="仿宋"/>
          <w:sz w:val="32"/>
          <w:szCs w:val="32"/>
        </w:rPr>
        <w:t>和立法先进经验的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个城市调研学习；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召开座谈会，广泛听取市住建、交通运输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文广旅体、市移民、河源海事局等单位立法的意见建议；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源城区、东源县、连平县、和平县等4个县区，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市发改、工信、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自然资源、林业、气象、公安、卫健、城管综合执法、新丰江林管局等16个部门书面征求立法意见和建议。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到东源县、连平县开展立法</w:t>
      </w:r>
      <w:r>
        <w:rPr>
          <w:rFonts w:hint="eastAsia" w:ascii="仿宋" w:hAnsi="仿宋" w:eastAsia="仿宋" w:cs="仿宋"/>
          <w:sz w:val="32"/>
          <w:szCs w:val="32"/>
        </w:rPr>
        <w:t>实地调研，完成了《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）》起草工作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四、《条例（</w:t>
      </w:r>
      <w:r>
        <w:rPr>
          <w:rFonts w:hint="eastAsia" w:ascii="黑体" w:hAnsi="黑体" w:eastAsia="黑体" w:cs="黑体"/>
          <w:kern w:val="0"/>
          <w:szCs w:val="32"/>
          <w:lang w:eastAsia="zh-CN" w:bidi="ar"/>
        </w:rPr>
        <w:t>送审稿</w:t>
      </w:r>
      <w:r>
        <w:rPr>
          <w:rFonts w:hint="eastAsia" w:ascii="黑体" w:hAnsi="黑体" w:eastAsia="黑体" w:cs="黑体"/>
          <w:kern w:val="0"/>
          <w:szCs w:val="32"/>
          <w:lang w:bidi="ar"/>
        </w:rPr>
        <w:t>）》整体框架和重点内容</w:t>
      </w:r>
    </w:p>
    <w:p>
      <w:pPr>
        <w:pStyle w:val="10"/>
        <w:spacing w:line="600" w:lineRule="exact"/>
        <w:ind w:firstLine="630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</w:rPr>
        <w:t>条例结合河源实际，坚持以问题为导向，力求突出重点、精准立法。条例共</w:t>
      </w:r>
      <w:r>
        <w:rPr>
          <w:rFonts w:hint="eastAsia" w:ascii="仿宋_GB2312" w:hAnsi="宋体" w:cs="仿宋_GB2312"/>
          <w:lang w:eastAsia="zh-CN"/>
        </w:rPr>
        <w:t>八</w:t>
      </w:r>
      <w:r>
        <w:rPr>
          <w:rFonts w:hint="eastAsia" w:ascii="仿宋_GB2312" w:hAnsi="宋体" w:cs="仿宋_GB2312"/>
        </w:rPr>
        <w:t>章</w:t>
      </w:r>
      <w:r>
        <w:rPr>
          <w:rFonts w:hint="eastAsia" w:ascii="仿宋_GB2312" w:hAnsi="宋体" w:cs="仿宋_GB2312"/>
          <w:lang w:eastAsia="zh-CN"/>
        </w:rPr>
        <w:t>五</w:t>
      </w:r>
      <w:r>
        <w:rPr>
          <w:rFonts w:hint="eastAsia" w:ascii="仿宋_GB2312" w:hAnsi="宋体" w:cs="仿宋_GB2312"/>
        </w:rPr>
        <w:t>十</w:t>
      </w:r>
      <w:r>
        <w:rPr>
          <w:rFonts w:hint="eastAsia" w:ascii="仿宋_GB2312" w:hAnsi="宋体" w:cs="仿宋_GB2312"/>
          <w:lang w:eastAsia="zh-CN"/>
        </w:rPr>
        <w:t>七</w:t>
      </w:r>
      <w:r>
        <w:rPr>
          <w:rFonts w:hint="eastAsia" w:ascii="仿宋_GB2312" w:hAnsi="宋体" w:cs="仿宋_GB2312"/>
        </w:rPr>
        <w:t>条，主要内容</w:t>
      </w:r>
      <w:r>
        <w:rPr>
          <w:rFonts w:hint="eastAsia" w:ascii="仿宋_GB2312" w:hAnsi="宋体" w:cs="仿宋_GB2312"/>
          <w:lang w:eastAsia="zh-CN"/>
        </w:rPr>
        <w:t>和特点</w:t>
      </w:r>
      <w:r>
        <w:rPr>
          <w:rFonts w:hint="eastAsia" w:ascii="仿宋_GB2312" w:hAnsi="宋体" w:cs="仿宋_GB2312"/>
        </w:rPr>
        <w:t>如下：</w:t>
      </w:r>
    </w:p>
    <w:p>
      <w:pPr>
        <w:pStyle w:val="6"/>
        <w:widowControl/>
        <w:spacing w:line="60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（一）第一章 总则，共九条 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本章主要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明确条例适用范围、各级政府及部门职责。在遵循上位法有关部门职责规定的前提下，结合我市实际，明确了各级政府、村（居）民委员会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新丰江水库水质保护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的工作责任，形成齐抓共管工作格局，有效提升监管合力。</w:t>
      </w:r>
    </w:p>
    <w:p>
      <w:pPr>
        <w:spacing w:line="600" w:lineRule="exact"/>
        <w:ind w:firstLine="64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亮点：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提出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建立水库水质保护联席会议制度，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加强协同管理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 xml:space="preserve">（二）第二章 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水库饮用水水源保护区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，共三条；本章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仿宋_GB2312"/>
          <w:sz w:val="32"/>
          <w:szCs w:val="32"/>
        </w:rPr>
        <w:t>省政府批复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提出饮用水源保护区一级、二级保护区保护范围；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</w:rPr>
        <w:t>准保护区的具体边界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保护范围调整情况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</w:rPr>
        <w:t>由政府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向社会公布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（三）第三章 规划与管控，共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条；本章提出</w:t>
      </w:r>
      <w:r>
        <w:rPr>
          <w:rFonts w:hint="eastAsia" w:ascii="仿宋_GB2312" w:hAnsi="宋体" w:eastAsia="仿宋_GB2312" w:cs="仿宋_GB2312"/>
          <w:sz w:val="32"/>
          <w:szCs w:val="32"/>
        </w:rPr>
        <w:t>实施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新丰江水库水生态环境保护总体方案或规划，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统筹协调水质保护与经济社会发展。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/>
        </w:rPr>
        <w:t>特点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强化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国土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空间规划和用途管控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水库</w:t>
      </w:r>
      <w:r>
        <w:rPr>
          <w:rFonts w:hint="eastAsia" w:ascii="仿宋_GB2312" w:hAnsi="宋体" w:eastAsia="仿宋_GB2312" w:cs="仿宋_GB2312"/>
          <w:sz w:val="32"/>
          <w:szCs w:val="32"/>
        </w:rPr>
        <w:t>船舶总量控制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（四）第四章 生态保护与污染防治，共十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条；本章提出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建立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县区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联防联控机制，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加强生态保护，控制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污染。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/>
        </w:rPr>
        <w:t>特点：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严控水库流域畜禽养殖、农村面源、桉树种植、生活垃圾、生活污水等污染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（五）第五章 绿色发展，共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条；本章提出以绿色发展实现源头控制污染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特点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：对重点行业（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农业、林业、旅游业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明确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绿色发展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要求。</w:t>
      </w:r>
    </w:p>
    <w:p>
      <w:pPr>
        <w:numPr>
          <w:ilvl w:val="0"/>
          <w:numId w:val="2"/>
        </w:numPr>
        <w:spacing w:line="600" w:lineRule="exact"/>
        <w:ind w:firstLine="640" w:firstLineChars="0"/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第六章 保障与监督，共</w:t>
      </w:r>
      <w:r>
        <w:rPr>
          <w:rFonts w:hint="eastAsia" w:ascii="仿宋_GB2312" w:hAnsi="宋体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条；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本章提出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加强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河长制、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目标责任制、水库风险监控防范保障措施，加强部门监管和人大监督。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亮点：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上位法未涉及的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增殖放流备案管理（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第四十三条）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第七章 法律责任，共十条；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本章根据上位法设置了罚款、责令停产整治、强制拆除、责令改正等责任条款。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pacing w:val="0"/>
          <w:kern w:val="2"/>
          <w:sz w:val="32"/>
          <w:szCs w:val="32"/>
          <w:lang w:val="en-US" w:eastAsia="zh-CN"/>
        </w:rPr>
        <w:t>特点：一是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新设了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两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行政处罚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第五十一条、第五十三条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），包括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对上位法未涉及的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擅自引进外来物种或者其他非本地物种种质资源的；养殖专业户、畜禽散养户未采取有效措施，导致畜禽粪便、污水渗漏、溢流、散落的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的行为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予以处罚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b/>
          <w:bCs/>
          <w:spacing w:val="0"/>
          <w:kern w:val="2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依法委托（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集中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行使行政处罚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第五十三条、第五十</w:t>
      </w:r>
      <w:r>
        <w:rPr>
          <w:rFonts w:hint="eastAsia" w:ascii="仿宋_GB2312" w:hAnsi="宋体" w:cs="仿宋_GB2312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细化上位法对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未按照水质监测规范从事水质监测活动造成监测数据失实，隐瞒、伪造、篡改水质监测数据等弄虚作假的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行为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予以处罚（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第五十四条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）。</w:t>
      </w:r>
      <w:r>
        <w:rPr>
          <w:rFonts w:hint="eastAsia" w:ascii="仿宋_GB2312" w:hAnsi="宋体" w:eastAsia="仿宋_GB2312" w:cs="仿宋_GB2312"/>
          <w:b/>
          <w:bCs/>
          <w:spacing w:val="0"/>
          <w:kern w:val="2"/>
          <w:sz w:val="32"/>
          <w:szCs w:val="32"/>
          <w:lang w:eastAsia="zh-CN"/>
        </w:rPr>
        <w:t>四是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针对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违法排污处罚后继续违法或者拒绝阻挠复查的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违法行为实施按日连续处罚，提高违法成本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（第五十条）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五、</w:t>
      </w:r>
      <w:bookmarkStart w:id="1" w:name="_GoBack"/>
      <w:bookmarkEnd w:id="1"/>
      <w:r>
        <w:rPr>
          <w:rFonts w:hint="eastAsia" w:eastAsia="黑体" w:cs="黑体"/>
          <w:color w:val="auto"/>
          <w:kern w:val="0"/>
          <w:sz w:val="32"/>
          <w:szCs w:val="32"/>
          <w:lang w:val="en-US" w:eastAsia="zh-CN" w:bidi="ar"/>
        </w:rPr>
        <w:t>内部法制部门审查意见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我局法律顾问、政策法规科对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进行了合法性审查，一致认为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未发现有违反上位法律法规的内容，内容合法。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F608B"/>
    <w:multiLevelType w:val="singleLevel"/>
    <w:tmpl w:val="BE9F608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7745"/>
    <w:rsid w:val="251F5635"/>
    <w:rsid w:val="31DA0300"/>
    <w:rsid w:val="54F96950"/>
    <w:rsid w:val="62257A9A"/>
    <w:rsid w:val="63477745"/>
    <w:rsid w:val="677B4F08"/>
    <w:rsid w:val="73EB7445"/>
    <w:rsid w:val="7B6C3B9F"/>
    <w:rsid w:val="7B8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黑体" w:hAnsi="黑体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等线 Light"/>
      <w:kern w:val="2"/>
      <w:sz w:val="32"/>
      <w:szCs w:val="32"/>
      <w:lang w:val="en-US" w:eastAsia="zh-CN" w:bidi="ar-SA"/>
    </w:rPr>
  </w:style>
  <w:style w:type="paragraph" w:customStyle="1" w:styleId="11">
    <w:name w:val="正文文本缩进 New New"/>
    <w:qFormat/>
    <w:uiPriority w:val="0"/>
    <w:pPr>
      <w:widowControl w:val="0"/>
      <w:spacing w:line="590" w:lineRule="exact"/>
      <w:ind w:firstLine="632" w:firstLineChars="200"/>
      <w:jc w:val="both"/>
    </w:pPr>
    <w:rPr>
      <w:rFonts w:ascii="Times New Roman" w:hAnsi="Times New Roman" w:eastAsia="楷体_GB2312" w:cs="等线 Light"/>
      <w:kern w:val="2"/>
      <w:sz w:val="32"/>
      <w:lang w:val="en-US" w:eastAsia="zh-CN" w:bidi="ar-SA"/>
    </w:rPr>
  </w:style>
  <w:style w:type="paragraph" w:customStyle="1" w:styleId="12">
    <w:name w:val="正文：三号仿宋"/>
    <w:qFormat/>
    <w:uiPriority w:val="0"/>
    <w:pPr>
      <w:widowControl w:val="0"/>
      <w:ind w:firstLine="632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2020-10-16T07:17:00Z</dcterms:created>
  <dc:creator>何秀娟</dc:creator>
  <cp:lastModifiedBy>何秀娟</cp:lastModifiedBy>
  <cp:lastPrinted>2020-10-20T01:36:00Z</cp:lastPrinted>
  <dcterms:modified xsi:type="dcterms:W3CDTF">2023-12-25T01:19:20Z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