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创艺简标宋" w:hAnsi="创艺简标宋" w:eastAsia="创艺简标宋" w:cs="创艺简标宋"/>
          <w:bCs/>
          <w:sz w:val="44"/>
          <w:szCs w:val="44"/>
        </w:rPr>
      </w:pPr>
      <w:bookmarkStart w:id="0" w:name="_Hlk490732728"/>
      <w:r>
        <w:rPr>
          <w:rFonts w:hint="eastAsia" w:ascii="创艺简标宋" w:hAnsi="创艺简标宋" w:eastAsia="创艺简标宋" w:cs="创艺简标宋"/>
          <w:bCs/>
          <w:sz w:val="44"/>
          <w:szCs w:val="44"/>
        </w:rPr>
        <w:t>关于《河源市</w:t>
      </w:r>
      <w:r>
        <w:rPr>
          <w:rFonts w:hint="eastAsia" w:ascii="创艺简标宋" w:hAnsi="创艺简标宋" w:eastAsia="创艺简标宋" w:cs="创艺简标宋"/>
          <w:bCs/>
          <w:sz w:val="44"/>
          <w:szCs w:val="44"/>
          <w:lang w:eastAsia="zh-CN"/>
        </w:rPr>
        <w:t>新丰江水库水质保护</w:t>
      </w:r>
      <w:r>
        <w:rPr>
          <w:rFonts w:hint="eastAsia" w:ascii="创艺简标宋" w:hAnsi="创艺简标宋" w:eastAsia="创艺简标宋" w:cs="创艺简标宋"/>
          <w:bCs/>
          <w:sz w:val="44"/>
          <w:szCs w:val="44"/>
        </w:rPr>
        <w:t>条例</w:t>
      </w:r>
    </w:p>
    <w:p>
      <w:pPr>
        <w:spacing w:line="600" w:lineRule="exact"/>
        <w:jc w:val="center"/>
        <w:rPr>
          <w:rFonts w:hint="eastAsia" w:ascii="创艺简标宋" w:hAnsi="创艺简标宋" w:eastAsia="创艺简标宋" w:cs="创艺简标宋"/>
          <w:bCs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bCs/>
          <w:sz w:val="44"/>
          <w:szCs w:val="44"/>
        </w:rPr>
        <w:t>（</w:t>
      </w:r>
      <w:r>
        <w:rPr>
          <w:rFonts w:hint="eastAsia" w:ascii="创艺简标宋" w:hAnsi="创艺简标宋" w:eastAsia="创艺简标宋" w:cs="创艺简标宋"/>
          <w:bCs/>
          <w:sz w:val="44"/>
          <w:szCs w:val="44"/>
          <w:lang w:eastAsia="zh-CN"/>
        </w:rPr>
        <w:t>送审稿</w:t>
      </w:r>
      <w:r>
        <w:rPr>
          <w:rFonts w:hint="eastAsia" w:ascii="创艺简标宋" w:hAnsi="创艺简标宋" w:eastAsia="创艺简标宋" w:cs="创艺简标宋"/>
          <w:bCs/>
          <w:sz w:val="44"/>
          <w:szCs w:val="44"/>
        </w:rPr>
        <w:t>）》的起草说明</w:t>
      </w:r>
      <w:bookmarkEnd w:id="0"/>
    </w:p>
    <w:p>
      <w:pPr>
        <w:spacing w:line="500" w:lineRule="exact"/>
        <w:ind w:firstLine="640" w:firstLineChars="200"/>
        <w:jc w:val="center"/>
        <w:rPr>
          <w:rFonts w:ascii="仿宋" w:hAnsi="仿宋" w:eastAsia="仿宋" w:cs="仿宋_GB231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cs="仿宋_GB231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《河源市人大常委会2023年立法工作计划》将</w:t>
      </w:r>
      <w:r>
        <w:rPr>
          <w:rFonts w:hint="eastAsia" w:ascii="宋体" w:hAnsi="宋体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新丰江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水库水质保护立法列入了2023年的预备项目。为积极贯彻落实省委书记黄坤明在河源调研指示精神，今年初，市委、市人大常委会和市政府将</w:t>
      </w:r>
      <w:r>
        <w:rPr>
          <w:rFonts w:hint="eastAsia" w:ascii="宋体" w:hAnsi="宋体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新丰江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水库水质保护立法列入正式项目提前启动，成立了立法工作专班，由我局负责法规送审稿起草工作。</w:t>
      </w:r>
      <w:r>
        <w:rPr>
          <w:rFonts w:hint="eastAsia" w:ascii="仿宋_GB2312" w:hAnsi="仿宋_GB2312" w:cs="仿宋_GB2312"/>
          <w:szCs w:val="32"/>
        </w:rPr>
        <w:t>现就《条例（</w:t>
      </w:r>
      <w:r>
        <w:rPr>
          <w:rFonts w:hint="eastAsia" w:ascii="仿宋_GB2312" w:hAnsi="仿宋_GB2312" w:cs="仿宋_GB2312"/>
          <w:szCs w:val="32"/>
          <w:lang w:eastAsia="zh-CN"/>
        </w:rPr>
        <w:t>送审稿</w:t>
      </w:r>
      <w:r>
        <w:rPr>
          <w:rFonts w:hint="eastAsia" w:ascii="仿宋_GB2312" w:hAnsi="仿宋_GB2312" w:cs="仿宋_GB2312"/>
          <w:szCs w:val="32"/>
        </w:rPr>
        <w:t>）》作如下说明：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kern w:val="0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Cs w:val="32"/>
          <w:lang w:bidi="ar"/>
        </w:rPr>
        <w:t>一、立法的必要性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仿宋_GB2312" w:cs="仿宋_GB2312"/>
          <w:bCs/>
          <w:kern w:val="2"/>
          <w:sz w:val="32"/>
          <w:szCs w:val="32"/>
          <w:highlight w:val="none"/>
          <w:lang w:val="en-US" w:eastAsia="zh-CN" w:bidi="ar-SA"/>
        </w:rPr>
        <w:t>新丰江水库（万绿湖）主要位于我市东源县境内，总库容量139亿立方米，水域面积370平方公里，多年年均进出库水量为61亿立方米，是全国十大水库之一和华南第一大湖。水库汇水区地跨广东河源、韶关、惠州三市，我市范围内涉及源城、东源、和平和连平四个县（区），总面积约5814平方公里，其中河源4500平方公里，韶关1313平方公里，惠州1平方公里，主要一级入库支流有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新丰水、忠信河、连平水、船塘河、骆湖水、灯塔水、林石河、大席水、崧头河、高陂水、大湖水、南坑溪以及恶马坑等13条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。</w:t>
      </w:r>
      <w:r>
        <w:rPr>
          <w:rFonts w:hint="eastAsia" w:ascii="宋体" w:hAnsi="宋体" w:eastAsia="仿宋_GB2312" w:cs="仿宋_GB2312"/>
          <w:bCs/>
          <w:kern w:val="2"/>
          <w:sz w:val="32"/>
          <w:szCs w:val="32"/>
          <w:highlight w:val="none"/>
          <w:lang w:val="en-US" w:eastAsia="zh-CN" w:bidi="ar-SA"/>
        </w:rPr>
        <w:t>新丰江水库水质长期稳定保持地表水Ⅰ类标准，是东江最重要的水源之一，也是东江中下游城市及香港等地四千多万人最重要的饮用水水源，被誉为“粤港水塔”，先后获评“中国优质饮用水资源开发基地”、首批“中国好水”水源地和“2021年广东省十大美丽河湖”等荣誉称号，新丰江水库水质保护意义重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新丰江水库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优良</w:t>
      </w:r>
      <w:r>
        <w:rPr>
          <w:rFonts w:hint="eastAsia" w:ascii="宋体" w:hAnsi="宋体" w:eastAsia="仿宋_GB2312" w:cs="仿宋_GB2312"/>
          <w:sz w:val="32"/>
          <w:szCs w:val="32"/>
        </w:rPr>
        <w:t>水质来之不易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sz w:val="32"/>
          <w:szCs w:val="32"/>
        </w:rPr>
        <w:t>随着东江流域经济社会快速发展，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新丰江水库及其主要支流水质保护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工作、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遏制氮磷污染</w:t>
      </w:r>
      <w:r>
        <w:rPr>
          <w:rFonts w:hint="eastAsia" w:ascii="宋体" w:hAnsi="宋体" w:eastAsia="仿宋_GB2312" w:cs="仿宋_GB2312"/>
          <w:sz w:val="32"/>
          <w:szCs w:val="32"/>
        </w:rPr>
        <w:t>面临巨大的压力，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水库</w:t>
      </w:r>
      <w:r>
        <w:rPr>
          <w:rFonts w:hint="eastAsia" w:ascii="宋体" w:hAnsi="宋体" w:eastAsia="仿宋_GB2312" w:cs="仿宋_GB2312"/>
          <w:sz w:val="32"/>
          <w:szCs w:val="32"/>
        </w:rPr>
        <w:t>水质安全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形势</w:t>
      </w:r>
      <w:r>
        <w:rPr>
          <w:rFonts w:hint="eastAsia" w:ascii="宋体" w:hAnsi="宋体" w:eastAsia="仿宋_GB2312" w:cs="仿宋_GB2312"/>
          <w:sz w:val="32"/>
          <w:szCs w:val="32"/>
        </w:rPr>
        <w:t>不容乐观。新丰江水库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流域</w:t>
      </w:r>
      <w:r>
        <w:rPr>
          <w:rFonts w:hint="eastAsia" w:ascii="宋体" w:hAnsi="宋体" w:eastAsia="仿宋_GB2312" w:cs="仿宋_GB2312"/>
          <w:sz w:val="32"/>
          <w:szCs w:val="32"/>
        </w:rPr>
        <w:t>面临多种污染隐患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，包括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畜禽养殖、农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业种植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、桉树种植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等带来的污染物和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生活垃圾、生活污水</w:t>
      </w:r>
      <w:r>
        <w:rPr>
          <w:rFonts w:hint="eastAsia" w:ascii="宋体" w:hAnsi="宋体" w:eastAsia="仿宋_GB2312" w:cs="仿宋_GB2312"/>
          <w:sz w:val="32"/>
          <w:szCs w:val="32"/>
        </w:rPr>
        <w:t>。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通过立法统筹推进新丰江水库水质保护，是推进生态文明建设的需要，也是确保具有战略地位的水库水质长久安全的需要。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kern w:val="0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Cs w:val="32"/>
          <w:lang w:bidi="ar"/>
        </w:rPr>
        <w:t>二、立法依据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《条例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（送审稿）</w:t>
      </w:r>
      <w:r>
        <w:rPr>
          <w:rFonts w:hint="eastAsia" w:ascii="仿宋" w:hAnsi="仿宋" w:eastAsia="仿宋" w:cs="仿宋"/>
          <w:sz w:val="32"/>
          <w:szCs w:val="32"/>
        </w:rPr>
        <w:t>》的起草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的依据主要</w:t>
      </w:r>
      <w:r>
        <w:rPr>
          <w:rFonts w:hint="eastAsia" w:ascii="仿宋" w:hAnsi="仿宋" w:eastAsia="仿宋" w:cs="仿宋"/>
          <w:sz w:val="32"/>
          <w:szCs w:val="32"/>
        </w:rPr>
        <w:t>有：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《中华人民共和国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环境保护法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中华人民共和国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水污染防治法》《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中华人民共和国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水法》等法律法规。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kern w:val="0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Cs w:val="32"/>
          <w:lang w:bidi="ar"/>
        </w:rPr>
        <w:t>三、《条例（</w:t>
      </w:r>
      <w:r>
        <w:rPr>
          <w:rFonts w:hint="eastAsia" w:ascii="黑体" w:hAnsi="黑体" w:eastAsia="黑体" w:cs="黑体"/>
          <w:kern w:val="0"/>
          <w:szCs w:val="32"/>
          <w:lang w:eastAsia="zh-CN" w:bidi="ar"/>
        </w:rPr>
        <w:t>送审稿</w:t>
      </w:r>
      <w:r>
        <w:rPr>
          <w:rFonts w:hint="eastAsia" w:ascii="黑体" w:hAnsi="黑体" w:eastAsia="黑体" w:cs="黑体"/>
          <w:kern w:val="0"/>
          <w:szCs w:val="32"/>
          <w:lang w:bidi="ar"/>
        </w:rPr>
        <w:t>）》起草过程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我市全力推进河源市新丰江水库水质保护立法工作，深入开展立法前期调研。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先后到省内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汕尾、湛江、茂名等</w:t>
      </w:r>
      <w:r>
        <w:rPr>
          <w:rFonts w:hint="eastAsia" w:ascii="仿宋" w:hAnsi="仿宋" w:eastAsia="仿宋" w:cs="仿宋"/>
          <w:sz w:val="32"/>
          <w:szCs w:val="32"/>
        </w:rPr>
        <w:t>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水库水质保护</w:t>
      </w:r>
      <w:r>
        <w:rPr>
          <w:rFonts w:hint="eastAsia" w:ascii="仿宋" w:hAnsi="仿宋" w:eastAsia="仿宋" w:cs="仿宋"/>
          <w:sz w:val="32"/>
          <w:szCs w:val="32"/>
        </w:rPr>
        <w:t>和立法先进经验的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个城市调研学习；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召开座谈会，广泛听取市住建、交通运输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水务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农业农村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文广旅体、市移民、河源海事局等单位立法的意见建议；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源城区、东源县、连平县、和平县等4个县区，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市发改、工信、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自然资源、林业、气象、公安、卫健、城管综合执法、新丰江林管局等16个部门书面征求立法意见和建议。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到东源县、连平县开展立法</w:t>
      </w:r>
      <w:r>
        <w:rPr>
          <w:rFonts w:hint="eastAsia" w:ascii="仿宋" w:hAnsi="仿宋" w:eastAsia="仿宋" w:cs="仿宋"/>
          <w:sz w:val="32"/>
          <w:szCs w:val="32"/>
        </w:rPr>
        <w:t>实地调研，完成了《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条例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送审稿</w:t>
      </w:r>
      <w:r>
        <w:rPr>
          <w:rFonts w:hint="eastAsia" w:ascii="仿宋" w:hAnsi="仿宋" w:eastAsia="仿宋" w:cs="仿宋"/>
          <w:sz w:val="32"/>
          <w:szCs w:val="32"/>
        </w:rPr>
        <w:t>）》起草工作；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四是</w:t>
      </w:r>
      <w:r>
        <w:rPr>
          <w:rFonts w:hint="eastAsia" w:ascii="仿宋" w:hAnsi="仿宋" w:eastAsia="仿宋" w:cs="仿宋"/>
          <w:sz w:val="32"/>
          <w:szCs w:val="32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8日至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日期间征求了各县（区）人民政府（管委会）和市各相关单位意见，同时通过河源市政府门户网向社会公开征求意见；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五是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11月3日</w:t>
      </w:r>
      <w:r>
        <w:rPr>
          <w:rFonts w:hint="eastAsia" w:ascii="仿宋" w:hAnsi="仿宋" w:eastAsia="仿宋" w:cs="仿宋"/>
          <w:sz w:val="32"/>
          <w:szCs w:val="32"/>
        </w:rPr>
        <w:t>召开了专家论证会，与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相关县区和</w:t>
      </w:r>
      <w:r>
        <w:rPr>
          <w:rFonts w:hint="eastAsia" w:ascii="仿宋" w:hAnsi="仿宋" w:eastAsia="仿宋" w:cs="仿宋"/>
          <w:sz w:val="32"/>
          <w:szCs w:val="32"/>
        </w:rPr>
        <w:t>市直有关部门进行充分研究讨论，并对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送审稿</w:t>
      </w:r>
      <w:r>
        <w:rPr>
          <w:rFonts w:hint="eastAsia" w:ascii="仿宋" w:hAnsi="仿宋" w:eastAsia="仿宋" w:cs="仿宋"/>
          <w:sz w:val="32"/>
          <w:szCs w:val="32"/>
        </w:rPr>
        <w:t>进一步修改完善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六是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11月9日通过了局党组会议，并根据会议要求进行了进一步修改，形成《条例（送审稿）》。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kern w:val="0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Cs w:val="32"/>
          <w:lang w:bidi="ar"/>
        </w:rPr>
        <w:t>四、《条例（</w:t>
      </w:r>
      <w:r>
        <w:rPr>
          <w:rFonts w:hint="eastAsia" w:ascii="黑体" w:hAnsi="黑体" w:eastAsia="黑体" w:cs="黑体"/>
          <w:kern w:val="0"/>
          <w:szCs w:val="32"/>
          <w:lang w:eastAsia="zh-CN" w:bidi="ar"/>
        </w:rPr>
        <w:t>送审稿</w:t>
      </w:r>
      <w:r>
        <w:rPr>
          <w:rFonts w:hint="eastAsia" w:ascii="黑体" w:hAnsi="黑体" w:eastAsia="黑体" w:cs="黑体"/>
          <w:kern w:val="0"/>
          <w:szCs w:val="32"/>
          <w:lang w:bidi="ar"/>
        </w:rPr>
        <w:t>）》整体框架和重点内容</w:t>
      </w:r>
    </w:p>
    <w:p>
      <w:pPr>
        <w:pStyle w:val="10"/>
        <w:spacing w:line="600" w:lineRule="exact"/>
        <w:ind w:firstLine="630"/>
        <w:rPr>
          <w:rFonts w:hint="eastAsia" w:ascii="仿宋_GB2312" w:hAnsi="宋体" w:cs="仿宋_GB2312"/>
        </w:rPr>
      </w:pPr>
      <w:r>
        <w:rPr>
          <w:rFonts w:hint="eastAsia" w:ascii="仿宋_GB2312" w:hAnsi="宋体" w:cs="仿宋_GB2312"/>
        </w:rPr>
        <w:t>条例结合河源实际，坚持以问题为导向，力求突出重点、精准立法。条例共</w:t>
      </w:r>
      <w:r>
        <w:rPr>
          <w:rFonts w:hint="eastAsia" w:ascii="仿宋_GB2312" w:hAnsi="宋体" w:cs="仿宋_GB2312"/>
          <w:lang w:eastAsia="zh-CN"/>
        </w:rPr>
        <w:t>八</w:t>
      </w:r>
      <w:r>
        <w:rPr>
          <w:rFonts w:hint="eastAsia" w:ascii="仿宋_GB2312" w:hAnsi="宋体" w:cs="仿宋_GB2312"/>
        </w:rPr>
        <w:t>章</w:t>
      </w:r>
      <w:r>
        <w:rPr>
          <w:rFonts w:hint="eastAsia" w:ascii="仿宋_GB2312" w:hAnsi="宋体" w:cs="仿宋_GB2312"/>
          <w:lang w:eastAsia="zh-CN"/>
        </w:rPr>
        <w:t>五</w:t>
      </w:r>
      <w:r>
        <w:rPr>
          <w:rFonts w:hint="eastAsia" w:ascii="仿宋_GB2312" w:hAnsi="宋体" w:cs="仿宋_GB2312"/>
        </w:rPr>
        <w:t>十</w:t>
      </w:r>
      <w:r>
        <w:rPr>
          <w:rFonts w:hint="eastAsia" w:ascii="仿宋_GB2312" w:hAnsi="宋体" w:cs="仿宋_GB2312"/>
          <w:lang w:eastAsia="zh-CN"/>
        </w:rPr>
        <w:t>七</w:t>
      </w:r>
      <w:r>
        <w:rPr>
          <w:rFonts w:hint="eastAsia" w:ascii="仿宋_GB2312" w:hAnsi="宋体" w:cs="仿宋_GB2312"/>
        </w:rPr>
        <w:t>条，主要内容</w:t>
      </w:r>
      <w:r>
        <w:rPr>
          <w:rFonts w:hint="eastAsia" w:ascii="仿宋_GB2312" w:hAnsi="宋体" w:cs="仿宋_GB2312"/>
          <w:lang w:eastAsia="zh-CN"/>
        </w:rPr>
        <w:t>和特点</w:t>
      </w:r>
      <w:r>
        <w:rPr>
          <w:rFonts w:hint="eastAsia" w:ascii="仿宋_GB2312" w:hAnsi="宋体" w:cs="仿宋_GB2312"/>
        </w:rPr>
        <w:t>如下：</w:t>
      </w:r>
    </w:p>
    <w:p>
      <w:pPr>
        <w:pStyle w:val="6"/>
        <w:widowControl/>
        <w:spacing w:line="600" w:lineRule="exact"/>
        <w:ind w:firstLine="640" w:firstLineChars="200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/>
        </w:rPr>
        <w:t>（一）第一章 总则，共九条 ；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本章主要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明确条例适用范围、各级政府及部门职责。在遵循上位法有关部门职责规定的前提下，结合我市实际，明确了各级政府、村（居）民委员会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新丰江水库水质保护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的工作责任，形成齐抓共管工作格局，有效提升监管合力。</w:t>
      </w:r>
    </w:p>
    <w:p>
      <w:pPr>
        <w:spacing w:line="600" w:lineRule="exact"/>
        <w:ind w:firstLine="640"/>
        <w:jc w:val="both"/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kern w:val="2"/>
          <w:sz w:val="32"/>
          <w:szCs w:val="32"/>
          <w:lang w:val="en-US" w:eastAsia="zh-CN" w:bidi="ar-SA"/>
        </w:rPr>
        <w:t>亮点：</w:t>
      </w:r>
      <w:r>
        <w:rPr>
          <w:rFonts w:hint="eastAsia" w:ascii="仿宋_GB2312" w:hAnsi="宋体" w:eastAsia="仿宋_GB2312" w:cs="仿宋_GB2312"/>
          <w:spacing w:val="0"/>
          <w:kern w:val="2"/>
          <w:sz w:val="32"/>
          <w:szCs w:val="32"/>
          <w:lang w:eastAsia="zh-CN"/>
        </w:rPr>
        <w:t>提出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  <w:lang w:val="en-US" w:eastAsia="zh-CN"/>
        </w:rPr>
        <w:t>建立水库水质保护联席会议制度，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加强协同管理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pageBreakBefore w:val="0"/>
        <w:kinsoku/>
        <w:wordWrap/>
        <w:overflowPunct/>
        <w:topLinePunct w:val="0"/>
        <w:bidi w:val="0"/>
        <w:spacing w:line="600" w:lineRule="exact"/>
        <w:ind w:left="0" w:leftChars="0" w:firstLine="640" w:firstLineChars="0"/>
        <w:jc w:val="both"/>
        <w:textAlignment w:val="auto"/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 xml:space="preserve">（二）第二章 </w:t>
      </w:r>
      <w:r>
        <w:rPr>
          <w:rFonts w:hint="eastAsia" w:ascii="仿宋_GB2312" w:hAnsi="宋体" w:cs="仿宋_GB2312"/>
          <w:kern w:val="2"/>
          <w:sz w:val="32"/>
          <w:szCs w:val="32"/>
          <w:lang w:val="en-US" w:eastAsia="zh-CN"/>
        </w:rPr>
        <w:t>水库饮用水水源保护区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，共三条；本章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宋体" w:eastAsia="仿宋_GB2312" w:cs="仿宋_GB2312"/>
          <w:sz w:val="32"/>
          <w:szCs w:val="32"/>
        </w:rPr>
        <w:t>省政府批复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提出饮用水源保护区一级、二级保护区保护范围；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 w:color="auto" w:fill="auto"/>
        </w:rPr>
        <w:t>准保护区的具体边界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保护范围调整情况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 w:color="auto" w:fill="auto"/>
        </w:rPr>
        <w:t>由政府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 w:color="auto" w:fill="auto"/>
          <w:lang w:eastAsia="zh-CN"/>
        </w:rPr>
        <w:t>向社会公布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0"/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（三）第三章 规划与管控，共</w:t>
      </w:r>
      <w:r>
        <w:rPr>
          <w:rFonts w:hint="eastAsia" w:ascii="仿宋_GB2312" w:hAnsi="宋体" w:cs="仿宋_GB2312"/>
          <w:kern w:val="2"/>
          <w:sz w:val="32"/>
          <w:szCs w:val="32"/>
          <w:lang w:val="en-US" w:eastAsia="zh-CN"/>
        </w:rPr>
        <w:t>六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条；本章提出</w:t>
      </w:r>
      <w:r>
        <w:rPr>
          <w:rFonts w:hint="eastAsia" w:ascii="仿宋_GB2312" w:hAnsi="宋体" w:eastAsia="仿宋_GB2312" w:cs="仿宋_GB2312"/>
          <w:sz w:val="32"/>
          <w:szCs w:val="32"/>
        </w:rPr>
        <w:t>实施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新丰江水库水生态环境保护总体方案或规划，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</w:rPr>
        <w:t>统筹协调水质保护与经济社会发展。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0"/>
        <w:jc w:val="both"/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kern w:val="2"/>
          <w:sz w:val="32"/>
          <w:szCs w:val="32"/>
          <w:lang w:val="en-US" w:eastAsia="zh-CN"/>
        </w:rPr>
        <w:t>特点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：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</w:rPr>
        <w:t>强化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  <w:lang w:eastAsia="zh-CN"/>
        </w:rPr>
        <w:t>国土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</w:rPr>
        <w:t>空间规划和用途管控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水库</w:t>
      </w:r>
      <w:r>
        <w:rPr>
          <w:rFonts w:hint="eastAsia" w:ascii="仿宋_GB2312" w:hAnsi="宋体" w:eastAsia="仿宋_GB2312" w:cs="仿宋_GB2312"/>
          <w:sz w:val="32"/>
          <w:szCs w:val="32"/>
        </w:rPr>
        <w:t>船舶总量控制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spacing w:line="600" w:lineRule="exact"/>
        <w:ind w:firstLine="640"/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（四）第四章 生态保护与污染防治，共十</w:t>
      </w:r>
      <w:r>
        <w:rPr>
          <w:rFonts w:hint="eastAsia" w:ascii="仿宋_GB2312" w:hAnsi="宋体" w:cs="仿宋_GB2312"/>
          <w:kern w:val="2"/>
          <w:sz w:val="32"/>
          <w:szCs w:val="32"/>
          <w:lang w:val="en-US" w:eastAsia="zh-CN"/>
        </w:rPr>
        <w:t>五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条；本章提出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</w:rPr>
        <w:t>建立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  <w:lang w:eastAsia="zh-CN"/>
        </w:rPr>
        <w:t>县区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</w:rPr>
        <w:t>联防联控机制，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加强生态保护，控制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  <w:lang w:eastAsia="zh-CN"/>
        </w:rPr>
        <w:t>污染。</w:t>
      </w:r>
    </w:p>
    <w:p>
      <w:pPr>
        <w:spacing w:line="600" w:lineRule="exact"/>
        <w:ind w:firstLine="640"/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kern w:val="2"/>
          <w:sz w:val="32"/>
          <w:szCs w:val="32"/>
          <w:lang w:val="en-US" w:eastAsia="zh-CN"/>
        </w:rPr>
        <w:t>特点：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2"/>
          <w:szCs w:val="32"/>
        </w:rPr>
        <w:t>严控水库流域畜禽养殖、农村面源、桉树种植、生活垃圾、生活污水等污染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spacing w:line="600" w:lineRule="exact"/>
        <w:ind w:firstLine="640"/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（五）第五章 绿色发展，共</w:t>
      </w:r>
      <w:r>
        <w:rPr>
          <w:rFonts w:hint="eastAsia" w:ascii="仿宋_GB2312" w:hAnsi="宋体" w:cs="仿宋_GB2312"/>
          <w:kern w:val="2"/>
          <w:sz w:val="32"/>
          <w:szCs w:val="32"/>
          <w:lang w:val="en-US" w:eastAsia="zh-CN"/>
        </w:rPr>
        <w:t>五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条；本章提出以绿色发展实现源头控制污染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spacing w:line="600" w:lineRule="exact"/>
        <w:ind w:firstLine="640"/>
        <w:rPr>
          <w:rFonts w:hint="eastAsia" w:ascii="仿宋_GB2312" w:hAnsi="宋体" w:eastAsia="仿宋_GB2312" w:cs="仿宋_GB2312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kern w:val="2"/>
          <w:sz w:val="32"/>
          <w:szCs w:val="32"/>
          <w:lang w:val="en-US" w:eastAsia="zh-CN" w:bidi="ar-SA"/>
        </w:rPr>
        <w:t>特点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：对重点行业（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</w:rPr>
        <w:t>农业、林业、旅游业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宋体" w:eastAsia="仿宋_GB2312" w:cs="仿宋_GB2312"/>
          <w:sz w:val="32"/>
          <w:szCs w:val="32"/>
          <w:highlight w:val="none"/>
          <w:lang w:eastAsia="zh-CN"/>
        </w:rPr>
        <w:t>明确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/>
        </w:rPr>
        <w:t>绿色发展</w:t>
      </w:r>
      <w:r>
        <w:rPr>
          <w:rFonts w:hint="eastAsia" w:ascii="仿宋_GB2312" w:hAnsi="宋体" w:eastAsia="仿宋_GB2312" w:cs="仿宋_GB2312"/>
          <w:spacing w:val="0"/>
          <w:kern w:val="2"/>
          <w:sz w:val="32"/>
          <w:szCs w:val="32"/>
          <w:lang w:val="en-US" w:eastAsia="zh-CN"/>
        </w:rPr>
        <w:t>要求。</w:t>
      </w:r>
    </w:p>
    <w:p>
      <w:pPr>
        <w:numPr>
          <w:ilvl w:val="0"/>
          <w:numId w:val="2"/>
        </w:numPr>
        <w:spacing w:line="600" w:lineRule="exact"/>
        <w:ind w:firstLine="640" w:firstLineChars="0"/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第六章 保障与监督，共</w:t>
      </w:r>
      <w:r>
        <w:rPr>
          <w:rFonts w:hint="eastAsia" w:ascii="仿宋_GB2312" w:hAnsi="宋体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条；</w:t>
      </w:r>
      <w:r>
        <w:rPr>
          <w:rFonts w:hint="eastAsia" w:ascii="仿宋_GB2312" w:hAnsi="宋体" w:eastAsia="仿宋_GB2312" w:cs="仿宋_GB2312"/>
          <w:spacing w:val="0"/>
          <w:kern w:val="2"/>
          <w:sz w:val="32"/>
          <w:szCs w:val="32"/>
          <w:lang w:val="en-US" w:eastAsia="zh-CN"/>
        </w:rPr>
        <w:t>本章提出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  <w:lang w:val="en-US" w:eastAsia="zh-CN" w:bidi="ar-SA"/>
        </w:rPr>
        <w:t>加强</w:t>
      </w:r>
      <w:r>
        <w:rPr>
          <w:rFonts w:hint="eastAsia" w:ascii="仿宋_GB2312" w:hAnsi="宋体" w:eastAsia="仿宋_GB2312" w:cs="仿宋_GB2312"/>
          <w:spacing w:val="0"/>
          <w:kern w:val="2"/>
          <w:sz w:val="32"/>
          <w:szCs w:val="32"/>
          <w:lang w:val="en-US" w:eastAsia="zh-CN"/>
        </w:rPr>
        <w:t>河长制、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  <w:lang w:val="en-US" w:eastAsia="zh-CN" w:bidi="ar-SA"/>
        </w:rPr>
        <w:t>目标责任制、水库风险监控防范保障措施，加强部门监管和人大监督。</w:t>
      </w:r>
    </w:p>
    <w:p>
      <w:pPr>
        <w:spacing w:line="600" w:lineRule="exact"/>
        <w:ind w:firstLine="640"/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kern w:val="2"/>
          <w:sz w:val="32"/>
          <w:szCs w:val="32"/>
          <w:lang w:val="en-US" w:eastAsia="zh-CN" w:bidi="ar-SA"/>
        </w:rPr>
        <w:t>亮点：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提出</w:t>
      </w:r>
      <w:r>
        <w:rPr>
          <w:rFonts w:hint="eastAsia" w:ascii="仿宋_GB2312" w:hAnsi="宋体" w:eastAsia="仿宋_GB2312" w:cs="仿宋_GB2312"/>
          <w:spacing w:val="0"/>
          <w:kern w:val="2"/>
          <w:sz w:val="32"/>
          <w:szCs w:val="32"/>
        </w:rPr>
        <w:t>上位法未涉及的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增殖放流备案管理（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  <w:lang w:val="en-US" w:eastAsia="zh-CN" w:bidi="ar-SA"/>
        </w:rPr>
        <w:t>第四十三条）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numPr>
          <w:ilvl w:val="0"/>
          <w:numId w:val="2"/>
        </w:numPr>
        <w:spacing w:line="600" w:lineRule="exact"/>
        <w:ind w:firstLine="640" w:firstLineChars="0"/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第七章 法律责任，共十条；</w:t>
      </w:r>
      <w:r>
        <w:rPr>
          <w:rFonts w:hint="eastAsia" w:ascii="仿宋_GB2312" w:hAnsi="宋体" w:eastAsia="仿宋_GB2312" w:cs="仿宋_GB2312"/>
          <w:spacing w:val="0"/>
          <w:kern w:val="2"/>
          <w:sz w:val="32"/>
          <w:szCs w:val="32"/>
          <w:lang w:val="en-US" w:eastAsia="zh-CN"/>
        </w:rPr>
        <w:t>本章根据上位法设置了罚款、责令停产整治、强制拆除、责令改正等责任条款。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_GB2312" w:hAnsi="宋体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pacing w:val="0"/>
          <w:kern w:val="2"/>
          <w:sz w:val="32"/>
          <w:szCs w:val="32"/>
          <w:lang w:val="en-US" w:eastAsia="zh-CN"/>
        </w:rPr>
        <w:t>特点：一是</w:t>
      </w:r>
      <w:r>
        <w:rPr>
          <w:rFonts w:hint="eastAsia" w:ascii="仿宋_GB2312" w:hAnsi="宋体" w:eastAsia="仿宋_GB2312" w:cs="仿宋_GB2312"/>
          <w:spacing w:val="0"/>
          <w:kern w:val="2"/>
          <w:sz w:val="32"/>
          <w:szCs w:val="32"/>
        </w:rPr>
        <w:t>新设了</w:t>
      </w:r>
      <w:r>
        <w:rPr>
          <w:rFonts w:hint="eastAsia" w:ascii="仿宋_GB2312" w:hAnsi="宋体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两</w:t>
      </w:r>
      <w:r>
        <w:rPr>
          <w:rFonts w:hint="eastAsia" w:ascii="仿宋_GB2312" w:hAnsi="宋体" w:eastAsia="仿宋_GB2312" w:cs="仿宋_GB2312"/>
          <w:spacing w:val="0"/>
          <w:kern w:val="2"/>
          <w:sz w:val="32"/>
          <w:szCs w:val="32"/>
          <w:lang w:eastAsia="zh-CN"/>
        </w:rPr>
        <w:t>项</w:t>
      </w:r>
      <w:r>
        <w:rPr>
          <w:rFonts w:hint="eastAsia" w:ascii="仿宋_GB2312" w:hAnsi="宋体" w:eastAsia="仿宋_GB2312" w:cs="仿宋_GB2312"/>
          <w:spacing w:val="0"/>
          <w:kern w:val="2"/>
          <w:sz w:val="32"/>
          <w:szCs w:val="32"/>
        </w:rPr>
        <w:t>行政处罚</w:t>
      </w:r>
      <w:r>
        <w:rPr>
          <w:rFonts w:hint="eastAsia" w:ascii="仿宋_GB2312" w:hAnsi="宋体" w:eastAsia="仿宋_GB2312" w:cs="仿宋_GB2312"/>
          <w:spacing w:val="0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  <w:lang w:val="en-US" w:eastAsia="zh-CN" w:bidi="ar-SA"/>
        </w:rPr>
        <w:t>第五十一条、第五十三条</w:t>
      </w:r>
      <w:r>
        <w:rPr>
          <w:rFonts w:hint="eastAsia" w:ascii="仿宋_GB2312" w:hAnsi="宋体" w:eastAsia="仿宋_GB2312" w:cs="仿宋_GB2312"/>
          <w:spacing w:val="0"/>
          <w:kern w:val="2"/>
          <w:sz w:val="32"/>
          <w:szCs w:val="32"/>
          <w:lang w:eastAsia="zh-CN"/>
        </w:rPr>
        <w:t>），包括</w:t>
      </w:r>
      <w:r>
        <w:rPr>
          <w:rFonts w:hint="eastAsia" w:ascii="仿宋_GB2312" w:hAnsi="宋体" w:eastAsia="仿宋_GB2312" w:cs="仿宋_GB2312"/>
          <w:spacing w:val="0"/>
          <w:kern w:val="2"/>
          <w:sz w:val="32"/>
          <w:szCs w:val="32"/>
        </w:rPr>
        <w:t>对上位法未涉及的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  <w:lang w:val="en-US" w:eastAsia="zh-CN" w:bidi="ar-SA"/>
        </w:rPr>
        <w:t>擅自引进外来物种或者其他非本地物种种质资源的；养殖专业户、畜禽散养户未采取有效措施，导致畜禽粪便、污水渗漏、溢流、散落的</w:t>
      </w:r>
      <w:r>
        <w:rPr>
          <w:rFonts w:hint="eastAsia" w:ascii="仿宋_GB2312" w:hAnsi="宋体" w:eastAsia="仿宋_GB2312" w:cs="仿宋_GB2312"/>
          <w:spacing w:val="0"/>
          <w:kern w:val="2"/>
          <w:sz w:val="32"/>
          <w:szCs w:val="32"/>
        </w:rPr>
        <w:t>的行为</w:t>
      </w:r>
      <w:r>
        <w:rPr>
          <w:rFonts w:hint="eastAsia" w:ascii="仿宋_GB2312" w:hAnsi="宋体" w:eastAsia="仿宋_GB2312" w:cs="仿宋_GB2312"/>
          <w:spacing w:val="0"/>
          <w:kern w:val="2"/>
          <w:sz w:val="32"/>
          <w:szCs w:val="32"/>
          <w:lang w:eastAsia="zh-CN"/>
        </w:rPr>
        <w:t>予以处罚</w:t>
      </w:r>
      <w:r>
        <w:rPr>
          <w:rFonts w:hint="eastAsia" w:ascii="仿宋_GB2312" w:hAnsi="宋体" w:eastAsia="仿宋_GB2312" w:cs="仿宋_GB2312"/>
          <w:spacing w:val="0"/>
          <w:kern w:val="2"/>
          <w:sz w:val="32"/>
          <w:szCs w:val="32"/>
        </w:rPr>
        <w:t>。</w:t>
      </w:r>
      <w:r>
        <w:rPr>
          <w:rFonts w:hint="eastAsia" w:ascii="仿宋_GB2312" w:hAnsi="宋体" w:eastAsia="仿宋_GB2312" w:cs="仿宋_GB2312"/>
          <w:b/>
          <w:bCs/>
          <w:spacing w:val="0"/>
          <w:kern w:val="2"/>
          <w:sz w:val="32"/>
          <w:szCs w:val="32"/>
          <w:highlight w:val="none"/>
          <w:lang w:eastAsia="zh-CN"/>
        </w:rPr>
        <w:t>二是</w:t>
      </w:r>
      <w:r>
        <w:rPr>
          <w:rFonts w:hint="eastAsia" w:ascii="仿宋_GB2312" w:hAnsi="宋体" w:eastAsia="仿宋_GB2312" w:cs="仿宋_GB2312"/>
          <w:spacing w:val="0"/>
          <w:kern w:val="2"/>
          <w:sz w:val="32"/>
          <w:szCs w:val="32"/>
          <w:highlight w:val="none"/>
          <w:lang w:eastAsia="zh-CN"/>
        </w:rPr>
        <w:t>依法委托（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  <w:lang w:val="en-US" w:eastAsia="zh-CN" w:bidi="ar-SA"/>
        </w:rPr>
        <w:t>集中</w:t>
      </w:r>
      <w:r>
        <w:rPr>
          <w:rFonts w:hint="eastAsia" w:ascii="仿宋_GB2312" w:hAnsi="宋体" w:eastAsia="仿宋_GB2312" w:cs="仿宋_GB2312"/>
          <w:spacing w:val="0"/>
          <w:kern w:val="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  <w:lang w:val="en-US" w:eastAsia="zh-CN" w:bidi="ar-SA"/>
        </w:rPr>
        <w:t>行使行政处罚</w:t>
      </w:r>
      <w:r>
        <w:rPr>
          <w:rFonts w:hint="eastAsia" w:ascii="仿宋_GB2312" w:hAnsi="宋体" w:eastAsia="仿宋_GB2312" w:cs="仿宋_GB2312"/>
          <w:spacing w:val="0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  <w:lang w:val="en-US" w:eastAsia="zh-CN" w:bidi="ar-SA"/>
        </w:rPr>
        <w:t>第五十三条、第五十</w:t>
      </w:r>
      <w:r>
        <w:rPr>
          <w:rFonts w:hint="eastAsia" w:ascii="仿宋_GB2312" w:hAnsi="宋体" w:cs="仿宋_GB2312"/>
          <w:kern w:val="2"/>
          <w:sz w:val="32"/>
          <w:szCs w:val="32"/>
          <w:highlight w:val="none"/>
          <w:lang w:val="en-US" w:eastAsia="zh-CN" w:bidi="ar-SA"/>
        </w:rPr>
        <w:t>五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  <w:lang w:val="en-US" w:eastAsia="zh-CN" w:bidi="ar-SA"/>
        </w:rPr>
        <w:t>条</w:t>
      </w:r>
      <w:r>
        <w:rPr>
          <w:rFonts w:hint="eastAsia" w:ascii="仿宋_GB2312" w:hAnsi="宋体" w:eastAsia="仿宋_GB2312" w:cs="仿宋_GB2312"/>
          <w:spacing w:val="0"/>
          <w:kern w:val="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hAnsi="宋体" w:eastAsia="仿宋_GB2312" w:cs="仿宋_GB2312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宋体" w:eastAsia="仿宋_GB2312" w:cs="仿宋_GB2312"/>
          <w:spacing w:val="0"/>
          <w:kern w:val="2"/>
          <w:sz w:val="32"/>
          <w:szCs w:val="32"/>
          <w:lang w:eastAsia="zh-CN"/>
        </w:rPr>
        <w:t>细化上位法对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未按照水质监测规范从事水质监测活动造成监测数据失实，隐瞒、伪造、篡改水质监测数据等弄虚作假的</w:t>
      </w:r>
      <w:r>
        <w:rPr>
          <w:rFonts w:hint="eastAsia" w:ascii="仿宋_GB2312" w:hAnsi="宋体" w:eastAsia="仿宋_GB2312" w:cs="仿宋_GB2312"/>
          <w:spacing w:val="0"/>
          <w:kern w:val="2"/>
          <w:sz w:val="32"/>
          <w:szCs w:val="32"/>
        </w:rPr>
        <w:t>行为</w:t>
      </w:r>
      <w:r>
        <w:rPr>
          <w:rFonts w:hint="eastAsia" w:ascii="仿宋_GB2312" w:hAnsi="宋体" w:eastAsia="仿宋_GB2312" w:cs="仿宋_GB2312"/>
          <w:spacing w:val="0"/>
          <w:kern w:val="2"/>
          <w:sz w:val="32"/>
          <w:szCs w:val="32"/>
          <w:lang w:eastAsia="zh-CN"/>
        </w:rPr>
        <w:t>予以处罚（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第五十四条</w:t>
      </w:r>
      <w:r>
        <w:rPr>
          <w:rFonts w:hint="eastAsia" w:ascii="仿宋_GB2312" w:hAnsi="宋体" w:eastAsia="仿宋_GB2312" w:cs="仿宋_GB2312"/>
          <w:spacing w:val="0"/>
          <w:kern w:val="2"/>
          <w:sz w:val="32"/>
          <w:szCs w:val="32"/>
          <w:lang w:eastAsia="zh-CN"/>
        </w:rPr>
        <w:t>）。</w:t>
      </w:r>
      <w:r>
        <w:rPr>
          <w:rFonts w:hint="eastAsia" w:ascii="仿宋_GB2312" w:hAnsi="宋体" w:eastAsia="仿宋_GB2312" w:cs="仿宋_GB2312"/>
          <w:b/>
          <w:bCs/>
          <w:spacing w:val="0"/>
          <w:kern w:val="2"/>
          <w:sz w:val="32"/>
          <w:szCs w:val="32"/>
          <w:lang w:eastAsia="zh-CN"/>
        </w:rPr>
        <w:t>四是</w:t>
      </w:r>
      <w:r>
        <w:rPr>
          <w:rFonts w:hint="eastAsia" w:ascii="仿宋_GB2312" w:hAnsi="宋体" w:eastAsia="仿宋_GB2312" w:cs="仿宋_GB2312"/>
          <w:spacing w:val="0"/>
          <w:kern w:val="2"/>
          <w:sz w:val="32"/>
          <w:szCs w:val="32"/>
        </w:rPr>
        <w:t>针对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highlight w:val="none"/>
          <w:lang w:val="en-US" w:eastAsia="zh-CN" w:bidi="ar-SA"/>
        </w:rPr>
        <w:t>违法排污处罚后继续违法或者拒绝阻挠复查的</w:t>
      </w:r>
      <w:r>
        <w:rPr>
          <w:rFonts w:hint="eastAsia" w:ascii="仿宋_GB2312" w:hAnsi="宋体" w:eastAsia="仿宋_GB2312" w:cs="仿宋_GB2312"/>
          <w:spacing w:val="0"/>
          <w:kern w:val="2"/>
          <w:sz w:val="32"/>
          <w:szCs w:val="32"/>
        </w:rPr>
        <w:t>违法行为实施按日连续处罚，提高违法成本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-SA"/>
        </w:rPr>
        <w:t>（第五十条）</w:t>
      </w:r>
      <w:r>
        <w:rPr>
          <w:rFonts w:hint="eastAsia" w:ascii="仿宋_GB2312" w:hAnsi="宋体" w:eastAsia="仿宋_GB2312" w:cs="仿宋_GB2312"/>
          <w:spacing w:val="0"/>
          <w:kern w:val="2"/>
          <w:sz w:val="32"/>
          <w:szCs w:val="32"/>
        </w:rPr>
        <w:t>。</w:t>
      </w:r>
    </w:p>
    <w:p>
      <w:pPr>
        <w:pStyle w:val="2"/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五、征求意见</w:t>
      </w:r>
      <w:r>
        <w:rPr>
          <w:rFonts w:hint="eastAsia" w:eastAsia="黑体" w:cs="黑体"/>
          <w:color w:val="auto"/>
          <w:kern w:val="0"/>
          <w:sz w:val="32"/>
          <w:szCs w:val="32"/>
          <w:lang w:val="en-US" w:eastAsia="zh-CN" w:bidi="ar"/>
        </w:rPr>
        <w:t>采纳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汇总情况</w:t>
      </w:r>
    </w:p>
    <w:p>
      <w:pPr>
        <w:keepNext w:val="0"/>
        <w:keepLines w:val="0"/>
        <w:pageBreakBefore w:val="0"/>
        <w:widowControl w:val="0"/>
        <w:tabs>
          <w:tab w:val="left" w:pos="7500"/>
        </w:tabs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条例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征求意见稿</w:t>
      </w:r>
      <w:r>
        <w:rPr>
          <w:rFonts w:hint="eastAsia" w:ascii="仿宋" w:hAnsi="仿宋" w:eastAsia="仿宋" w:cs="仿宋"/>
          <w:sz w:val="32"/>
          <w:szCs w:val="32"/>
        </w:rPr>
        <w:t>）》于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8日至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日期间征求了各县（区）人民政府（管委会）和市各相关单位意见，同时通过河源市政府门户网向社会公开征求意见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，社会公开征求意见期间未收到有修改意见；在征求各县（区）人民政府（管委会）和市各相关单位共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24个单位意见及召开专家论证会议后，最新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归纳汇总修改意见共有11条，具体意见反馈采纳汇总情况见《</w:t>
      </w:r>
      <w:r>
        <w:rPr>
          <w:rFonts w:hint="eastAsia" w:ascii="宋体" w:hAnsi="宋体" w:cs="仿宋_GB2312"/>
          <w:b w:val="0"/>
          <w:bCs w:val="0"/>
          <w:sz w:val="32"/>
          <w:szCs w:val="32"/>
          <w:lang w:val="en-US" w:eastAsia="zh-CN"/>
        </w:rPr>
        <w:t>&lt;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河源市</w:t>
      </w:r>
      <w:r>
        <w:rPr>
          <w:rFonts w:hint="eastAsia" w:ascii="宋体" w:hAnsi="宋体" w:cs="仿宋_GB2312"/>
          <w:b w:val="0"/>
          <w:bCs w:val="0"/>
          <w:sz w:val="32"/>
          <w:szCs w:val="32"/>
          <w:lang w:eastAsia="zh-CN"/>
        </w:rPr>
        <w:t>新丰江水库水质保护条例</w:t>
      </w:r>
      <w:r>
        <w:rPr>
          <w:rFonts w:hint="eastAsia" w:ascii="宋体" w:hAnsi="宋体" w:cs="仿宋_GB2312"/>
          <w:b w:val="0"/>
          <w:bCs w:val="0"/>
          <w:sz w:val="32"/>
          <w:szCs w:val="32"/>
          <w:lang w:val="en-US" w:eastAsia="zh-CN"/>
        </w:rPr>
        <w:t>&gt;（草案）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反馈意见采纳情况汇总表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》。</w:t>
      </w:r>
    </w:p>
    <w:p>
      <w:pPr>
        <w:pStyle w:val="2"/>
        <w:ind w:firstLine="640" w:firstLineChars="200"/>
        <w:rPr>
          <w:rFonts w:hint="eastAsia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六、</w:t>
      </w:r>
      <w:r>
        <w:rPr>
          <w:rFonts w:hint="eastAsia" w:eastAsia="黑体" w:cs="黑体"/>
          <w:color w:val="auto"/>
          <w:kern w:val="0"/>
          <w:sz w:val="32"/>
          <w:szCs w:val="32"/>
          <w:lang w:val="en-US" w:eastAsia="zh-CN" w:bidi="ar"/>
        </w:rPr>
        <w:t>内部法制部门审查意见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我局法律顾问、政策法规科对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条例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送审稿</w:t>
      </w:r>
      <w:r>
        <w:rPr>
          <w:rFonts w:hint="eastAsia" w:ascii="仿宋" w:hAnsi="仿宋" w:eastAsia="仿宋" w:cs="仿宋"/>
          <w:sz w:val="32"/>
          <w:szCs w:val="32"/>
        </w:rPr>
        <w:t>）》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进行了合法性审查，一致认为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条例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送审稿</w:t>
      </w:r>
      <w:r>
        <w:rPr>
          <w:rFonts w:hint="eastAsia" w:ascii="仿宋" w:hAnsi="仿宋" w:eastAsia="仿宋" w:cs="仿宋"/>
          <w:sz w:val="32"/>
          <w:szCs w:val="32"/>
        </w:rPr>
        <w:t>）》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未发现有违反上位法律法规的内容，内容合法。</w:t>
      </w:r>
    </w:p>
    <w:sectPr>
      <w:footerReference r:id="rId3" w:type="default"/>
      <w:pgSz w:w="11906" w:h="16838"/>
      <w:pgMar w:top="1440" w:right="1531" w:bottom="1440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9F608B"/>
    <w:multiLevelType w:val="singleLevel"/>
    <w:tmpl w:val="BE9F608B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7"/>
    <w:multiLevelType w:val="multilevel"/>
    <w:tmpl w:val="00000007"/>
    <w:lvl w:ilvl="0" w:tentative="0">
      <w:start w:val="1"/>
      <w:numFmt w:val="decimal"/>
      <w:pStyle w:val="3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77745"/>
    <w:rsid w:val="251F5635"/>
    <w:rsid w:val="31DA0300"/>
    <w:rsid w:val="54F96950"/>
    <w:rsid w:val="62257A9A"/>
    <w:rsid w:val="63477745"/>
    <w:rsid w:val="73EB7445"/>
    <w:rsid w:val="7B6C3B9F"/>
    <w:rsid w:val="7B82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outlineLvl w:val="2"/>
    </w:pPr>
    <w:rPr>
      <w:b/>
      <w:bCs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textAlignment w:val="baseline"/>
    </w:pPr>
    <w:rPr>
      <w:rFonts w:ascii="黑体" w:hAnsi="黑体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paragraph" w:customStyle="1" w:styleId="9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customStyle="1" w:styleId="10">
    <w:name w:val="正文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等线 Light"/>
      <w:kern w:val="2"/>
      <w:sz w:val="32"/>
      <w:szCs w:val="32"/>
      <w:lang w:val="en-US" w:eastAsia="zh-CN" w:bidi="ar-SA"/>
    </w:rPr>
  </w:style>
  <w:style w:type="paragraph" w:customStyle="1" w:styleId="11">
    <w:name w:val="正文文本缩进 New New"/>
    <w:qFormat/>
    <w:uiPriority w:val="0"/>
    <w:pPr>
      <w:widowControl w:val="0"/>
      <w:spacing w:line="590" w:lineRule="exact"/>
      <w:ind w:firstLine="632" w:firstLineChars="200"/>
      <w:jc w:val="both"/>
    </w:pPr>
    <w:rPr>
      <w:rFonts w:ascii="Times New Roman" w:hAnsi="Times New Roman" w:eastAsia="楷体_GB2312" w:cs="等线 Light"/>
      <w:kern w:val="2"/>
      <w:sz w:val="32"/>
      <w:lang w:val="en-US" w:eastAsia="zh-CN" w:bidi="ar-SA"/>
    </w:rPr>
  </w:style>
  <w:style w:type="paragraph" w:customStyle="1" w:styleId="12">
    <w:name w:val="正文：三号仿宋"/>
    <w:qFormat/>
    <w:uiPriority w:val="0"/>
    <w:pPr>
      <w:widowControl w:val="0"/>
      <w:ind w:firstLine="632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河源市环境保护局</Company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2020-10-16T07:17:00Z</dcterms:created>
  <dc:creator>何秀娟</dc:creator>
  <cp:lastModifiedBy>何秀娟</cp:lastModifiedBy>
  <cp:lastPrinted>2020-10-20T01:36:00Z</cp:lastPrinted>
  <dcterms:modified xsi:type="dcterms:W3CDTF">2023-11-20T02:51:04Z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