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附件1</w:t>
      </w:r>
    </w:p>
    <w:p>
      <w:pPr>
        <w:spacing w:line="600" w:lineRule="exact"/>
        <w:jc w:val="center"/>
        <w:rPr>
          <w:rFonts w:hint="eastAsia" w:ascii="方正小标宋简体" w:hAnsi="方正小标宋简体" w:eastAsia="方正小标宋简体" w:cs="方正小标宋简体"/>
          <w:b w:val="0"/>
          <w:bCs w:val="0"/>
          <w:spacing w:val="-1"/>
          <w:position w:val="1"/>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烟花爆竹</w:t>
      </w:r>
      <w:r>
        <w:rPr>
          <w:rFonts w:hint="eastAsia" w:ascii="方正小标宋简体" w:hAnsi="方正小标宋简体" w:eastAsia="方正小标宋简体" w:cs="方正小标宋简体"/>
          <w:b w:val="0"/>
          <w:bCs w:val="0"/>
          <w:spacing w:val="-1"/>
          <w:position w:val="1"/>
          <w:sz w:val="44"/>
          <w:szCs w:val="44"/>
        </w:rPr>
        <w:t>产品质量监督抽查实施细则</w:t>
      </w:r>
      <w:bookmarkEnd w:id="0"/>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黑体" w:hAnsi="黑体" w:eastAsia="黑体"/>
          <w:sz w:val="32"/>
          <w:szCs w:val="32"/>
          <w:lang w:eastAsia="zh-CN"/>
        </w:rPr>
        <w:t>一、抽样方法</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仿宋_GB2312"/>
          <w:sz w:val="32"/>
          <w:szCs w:val="32"/>
          <w:highlight w:val="none"/>
        </w:rPr>
        <w:t>以随机抽样的方式在被</w:t>
      </w:r>
      <w:r>
        <w:rPr>
          <w:rFonts w:hint="eastAsia" w:ascii="Times New Roman" w:hAnsi="Times New Roman" w:eastAsia="仿宋_GB2312" w:cs="仿宋_GB2312"/>
          <w:sz w:val="32"/>
          <w:szCs w:val="32"/>
          <w:highlight w:val="none"/>
          <w:lang w:eastAsia="zh-CN"/>
        </w:rPr>
        <w:t>抽查市场主体</w:t>
      </w:r>
      <w:r>
        <w:rPr>
          <w:rFonts w:hint="eastAsia" w:ascii="Times New Roman" w:hAnsi="Times New Roman" w:eastAsia="仿宋_GB2312" w:cs="仿宋_GB2312"/>
          <w:sz w:val="32"/>
          <w:szCs w:val="32"/>
          <w:highlight w:val="none"/>
        </w:rPr>
        <w:t>的待销产品中抽取。随机数一般可使用随机数表等方法产生。抽查数量：每款产品抽取2组样本，第1组用于检验，第2组用于备样。</w:t>
      </w:r>
      <w:r>
        <w:rPr>
          <w:rFonts w:ascii="Times New Roman" w:hAnsi="Times New Roman" w:eastAsia="仿宋_GB2312"/>
          <w:sz w:val="32"/>
          <w:szCs w:val="32"/>
        </w:rPr>
        <w:t>每组样本需抽取样品数量</w:t>
      </w:r>
      <w:r>
        <w:rPr>
          <w:rFonts w:hint="eastAsia" w:ascii="Times New Roman" w:hAnsi="Times New Roman" w:eastAsia="仿宋_GB2312"/>
          <w:sz w:val="32"/>
          <w:szCs w:val="32"/>
          <w:lang w:eastAsia="zh-CN"/>
        </w:rPr>
        <w:t>见</w:t>
      </w:r>
      <w:r>
        <w:rPr>
          <w:rFonts w:ascii="Times New Roman" w:hAnsi="Times New Roman" w:eastAsia="仿宋_GB2312"/>
          <w:sz w:val="32"/>
          <w:szCs w:val="32"/>
        </w:rPr>
        <w:t>下表所示：</w:t>
      </w:r>
    </w:p>
    <w:p>
      <w:pPr>
        <w:snapToGrid w:val="0"/>
        <w:spacing w:line="44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表</w:t>
      </w:r>
      <w:r>
        <w:rPr>
          <w:rFonts w:hint="eastAsia" w:ascii="仿宋" w:hAnsi="仿宋" w:eastAsia="仿宋" w:cs="仿宋"/>
          <w:sz w:val="28"/>
          <w:szCs w:val="28"/>
          <w:lang w:val="en-US" w:eastAsia="zh-CN"/>
        </w:rPr>
        <w:t>1</w:t>
      </w:r>
      <w:r>
        <w:rPr>
          <w:rFonts w:hint="eastAsia" w:ascii="仿宋" w:hAnsi="仿宋" w:eastAsia="仿宋" w:cs="仿宋"/>
          <w:sz w:val="28"/>
          <w:szCs w:val="28"/>
        </w:rPr>
        <w:t>爆竹产品抽取样品数量</w:t>
      </w:r>
    </w:p>
    <w:tbl>
      <w:tblPr>
        <w:tblStyle w:val="11"/>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31"/>
        <w:gridCol w:w="1739"/>
        <w:gridCol w:w="171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1671" w:type="dxa"/>
            <w:vMerge w:val="restart"/>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批量范围</w:t>
            </w:r>
          </w:p>
          <w:p>
            <w:pPr>
              <w:jc w:val="center"/>
              <w:rPr>
                <w:rFonts w:hint="eastAsia" w:ascii="仿宋" w:hAnsi="仿宋" w:eastAsia="仿宋" w:cs="仿宋"/>
                <w:sz w:val="28"/>
                <w:szCs w:val="28"/>
              </w:rPr>
            </w:pPr>
            <w:r>
              <w:rPr>
                <w:rFonts w:hint="eastAsia" w:ascii="仿宋" w:hAnsi="仿宋" w:eastAsia="仿宋" w:cs="仿宋"/>
                <w:sz w:val="28"/>
                <w:szCs w:val="28"/>
              </w:rPr>
              <w:t>N(挂、卷)</w:t>
            </w:r>
          </w:p>
        </w:tc>
        <w:tc>
          <w:tcPr>
            <w:tcW w:w="6878" w:type="dxa"/>
            <w:gridSpan w:val="4"/>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71" w:type="dxa"/>
            <w:vMerge w:val="continue"/>
            <w:noWrap w:val="0"/>
            <w:vAlign w:val="top"/>
          </w:tcPr>
          <w:p>
            <w:pPr>
              <w:jc w:val="center"/>
              <w:rPr>
                <w:rFonts w:hint="eastAsia" w:ascii="仿宋" w:hAnsi="仿宋" w:eastAsia="仿宋" w:cs="仿宋"/>
                <w:sz w:val="28"/>
                <w:szCs w:val="28"/>
              </w:rPr>
            </w:pPr>
          </w:p>
        </w:tc>
        <w:tc>
          <w:tcPr>
            <w:tcW w:w="1631" w:type="dxa"/>
            <w:noWrap w:val="0"/>
            <w:vAlign w:val="top"/>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≤50响/(挂、卷)</w:t>
            </w:r>
          </w:p>
        </w:tc>
        <w:tc>
          <w:tcPr>
            <w:tcW w:w="1739" w:type="dxa"/>
            <w:noWrap w:val="0"/>
            <w:vAlign w:val="top"/>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51-500响/(挂、卷)</w:t>
            </w:r>
          </w:p>
        </w:tc>
        <w:tc>
          <w:tcPr>
            <w:tcW w:w="1717" w:type="dxa"/>
            <w:noWrap w:val="0"/>
            <w:vAlign w:val="top"/>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501-2000响/(挂、卷)</w:t>
            </w:r>
          </w:p>
        </w:tc>
        <w:tc>
          <w:tcPr>
            <w:tcW w:w="1791" w:type="dxa"/>
            <w:noWrap w:val="0"/>
            <w:vAlign w:val="top"/>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 xml:space="preserve">≤500 </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71" w:type="dxa"/>
            <w:noWrap w:val="0"/>
            <w:vAlign w:val="top"/>
          </w:tcPr>
          <w:p>
            <w:pPr>
              <w:ind w:firstLine="140" w:firstLineChars="50"/>
              <w:rPr>
                <w:rFonts w:hint="eastAsia" w:ascii="仿宋" w:hAnsi="仿宋" w:eastAsia="仿宋" w:cs="仿宋"/>
                <w:sz w:val="28"/>
                <w:szCs w:val="28"/>
              </w:rPr>
            </w:pPr>
            <w:r>
              <w:rPr>
                <w:rFonts w:hint="eastAsia" w:ascii="仿宋" w:hAnsi="仿宋" w:eastAsia="仿宋" w:cs="仿宋"/>
                <w:sz w:val="28"/>
                <w:szCs w:val="28"/>
              </w:rPr>
              <w:t>1001-2000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＞2000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r>
    </w:tbl>
    <w:p>
      <w:pPr>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表</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组合烟花产品抽取样品数量</w:t>
      </w:r>
    </w:p>
    <w:tbl>
      <w:tblPr>
        <w:tblStyle w:val="11"/>
        <w:tblW w:w="85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5"/>
        <w:gridCol w:w="1087"/>
        <w:gridCol w:w="1087"/>
        <w:gridCol w:w="1239"/>
        <w:gridCol w:w="1261"/>
        <w:gridCol w:w="1174"/>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restart"/>
            <w:tcBorders>
              <w:top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批量范围</w:t>
            </w:r>
          </w:p>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N（个）</w:t>
            </w:r>
          </w:p>
        </w:tc>
        <w:tc>
          <w:tcPr>
            <w:tcW w:w="6929" w:type="dxa"/>
            <w:gridSpan w:val="6"/>
            <w:tcBorders>
              <w:top w:val="single" w:color="auto" w:sz="4" w:space="0"/>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样 本 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15"/>
              <w:ind w:firstLine="420"/>
              <w:jc w:val="center"/>
              <w:rPr>
                <w:rFonts w:hint="eastAsia" w:ascii="仿宋" w:hAnsi="仿宋" w:eastAsia="仿宋" w:cs="仿宋"/>
                <w:sz w:val="28"/>
                <w:szCs w:val="28"/>
              </w:rPr>
            </w:pPr>
          </w:p>
        </w:tc>
        <w:tc>
          <w:tcPr>
            <w:tcW w:w="6929" w:type="dxa"/>
            <w:gridSpan w:val="6"/>
            <w:tcBorders>
              <w:top w:val="single" w:color="auto" w:sz="4" w:space="0"/>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15"/>
              <w:ind w:firstLine="420"/>
              <w:jc w:val="center"/>
              <w:rPr>
                <w:rFonts w:hint="eastAsia" w:ascii="仿宋" w:hAnsi="仿宋" w:eastAsia="仿宋" w:cs="仿宋"/>
                <w:sz w:val="28"/>
                <w:szCs w:val="28"/>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 xml:space="preserve">≤20 </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21～50</w:t>
            </w:r>
          </w:p>
        </w:tc>
        <w:tc>
          <w:tcPr>
            <w:tcW w:w="2255" w:type="dxa"/>
            <w:gridSpan w:val="2"/>
            <w:tcBorders>
              <w:top w:val="single" w:color="auto" w:sz="4" w:space="0"/>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15"/>
              <w:ind w:firstLine="420"/>
              <w:jc w:val="center"/>
              <w:rPr>
                <w:rFonts w:hint="eastAsia" w:ascii="仿宋" w:hAnsi="仿宋" w:eastAsia="仿宋" w:cs="仿宋"/>
                <w:sz w:val="28"/>
                <w:szCs w:val="28"/>
              </w:rPr>
            </w:pPr>
          </w:p>
        </w:tc>
        <w:tc>
          <w:tcPr>
            <w:tcW w:w="6929" w:type="dxa"/>
            <w:gridSpan w:val="6"/>
            <w:tcBorders>
              <w:top w:val="single" w:color="auto" w:sz="4" w:space="0"/>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15"/>
              <w:ind w:firstLine="420"/>
              <w:jc w:val="center"/>
              <w:rPr>
                <w:rFonts w:hint="eastAsia" w:ascii="仿宋" w:hAnsi="仿宋" w:eastAsia="仿宋" w:cs="仿宋"/>
                <w:sz w:val="28"/>
                <w:szCs w:val="28"/>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081" w:type="dxa"/>
            <w:tcBorders>
              <w:top w:val="single" w:color="auto" w:sz="4" w:space="0"/>
              <w:left w:val="single" w:color="auto" w:sz="4" w:space="0"/>
              <w:bottom w:val="single" w:color="auto" w:sz="4" w:space="0"/>
            </w:tcBorders>
            <w:noWrap w:val="0"/>
            <w:vAlign w:val="center"/>
          </w:tcPr>
          <w:p>
            <w:pPr>
              <w:pStyle w:val="15"/>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tcBorders>
              <w:top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≤500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174" w:type="dxa"/>
            <w:tcBorders>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081" w:type="dxa"/>
            <w:tcBorders>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tcBorders>
              <w:top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174" w:type="dxa"/>
            <w:tcBorders>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081" w:type="dxa"/>
            <w:tcBorders>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1635" w:type="dxa"/>
            <w:tcBorders>
              <w:top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≥1001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8</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174" w:type="dxa"/>
            <w:tcBorders>
              <w:left w:val="single" w:color="auto" w:sz="4" w:space="0"/>
              <w:bottom w:val="single" w:color="auto" w:sz="4" w:space="0"/>
              <w:right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081" w:type="dxa"/>
            <w:tcBorders>
              <w:left w:val="single" w:color="auto" w:sz="4" w:space="0"/>
              <w:bottom w:val="single" w:color="auto" w:sz="4" w:space="0"/>
            </w:tcBorders>
            <w:noWrap w:val="0"/>
            <w:vAlign w:val="center"/>
          </w:tcPr>
          <w:p>
            <w:pPr>
              <w:pStyle w:val="15"/>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r>
    </w:tbl>
    <w:p>
      <w:pPr>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表</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一般产品（喷花类、旋转类、升空类、吐珠类、玩具类）抽取样品数量</w:t>
      </w:r>
    </w:p>
    <w:tbl>
      <w:tblPr>
        <w:tblStyle w:val="11"/>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587"/>
        <w:gridCol w:w="1776"/>
        <w:gridCol w:w="184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批量范围N</w:t>
            </w:r>
          </w:p>
        </w:tc>
        <w:tc>
          <w:tcPr>
            <w:tcW w:w="158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≤500</w:t>
            </w:r>
          </w:p>
        </w:tc>
        <w:tc>
          <w:tcPr>
            <w:tcW w:w="1776"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848"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1001-2000</w:t>
            </w:r>
          </w:p>
        </w:tc>
        <w:tc>
          <w:tcPr>
            <w:tcW w:w="1683"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样本量n</w:t>
            </w:r>
          </w:p>
        </w:tc>
        <w:tc>
          <w:tcPr>
            <w:tcW w:w="158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776"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848"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683"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r>
    </w:tbl>
    <w:p>
      <w:pPr>
        <w:adjustRightInd w:val="0"/>
        <w:snapToGrid w:val="0"/>
        <w:spacing w:line="4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注：</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抽样基数满足抽样数量即可</w:t>
      </w:r>
      <w:r>
        <w:rPr>
          <w:rFonts w:hint="eastAsia" w:ascii="仿宋" w:hAnsi="仿宋" w:eastAsia="仿宋" w:cs="仿宋"/>
          <w:color w:val="000000"/>
          <w:sz w:val="28"/>
          <w:szCs w:val="28"/>
          <w:lang w:eastAsia="zh-CN"/>
        </w:rPr>
        <w:t>；</w:t>
      </w:r>
    </w:p>
    <w:p>
      <w:pPr>
        <w:numPr>
          <w:ilvl w:val="0"/>
          <w:numId w:val="0"/>
        </w:numPr>
        <w:adjustRightInd w:val="0"/>
        <w:snapToGrid w:val="0"/>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表1、表2、表3</w:t>
      </w:r>
      <w:r>
        <w:rPr>
          <w:rFonts w:hint="eastAsia" w:ascii="仿宋" w:hAnsi="仿宋" w:eastAsia="仿宋" w:cs="仿宋"/>
          <w:color w:val="000000"/>
          <w:sz w:val="28"/>
          <w:szCs w:val="28"/>
          <w:lang w:eastAsia="zh-CN"/>
        </w:rPr>
        <w:t>中抽取的样品数量为</w:t>
      </w:r>
      <w:r>
        <w:rPr>
          <w:rFonts w:hint="eastAsia" w:ascii="仿宋" w:hAnsi="仿宋" w:eastAsia="仿宋" w:cs="仿宋"/>
          <w:color w:val="000000"/>
          <w:sz w:val="28"/>
          <w:szCs w:val="28"/>
          <w:lang w:val="en-US" w:eastAsia="zh-CN"/>
        </w:rPr>
        <w:t>1组的样品数量；</w:t>
      </w:r>
    </w:p>
    <w:p>
      <w:pPr>
        <w:numPr>
          <w:ilvl w:val="0"/>
          <w:numId w:val="0"/>
        </w:numPr>
        <w:adjustRightInd w:val="0"/>
        <w:snapToGrid w:val="0"/>
        <w:spacing w:line="400" w:lineRule="exact"/>
        <w:ind w:firstLine="560" w:firstLineChars="200"/>
        <w:rPr>
          <w:rFonts w:hint="eastAsia" w:ascii="仿宋" w:hAnsi="仿宋" w:eastAsia="仿宋" w:cs="仿宋"/>
          <w:b/>
          <w:bCs/>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抽样方法按GB/T 10632-2014和GB 19593-2015的规定执行，检验样品数量按表1、表2、表3的规定执行，</w:t>
      </w:r>
      <w:r>
        <w:rPr>
          <w:rFonts w:hint="eastAsia" w:ascii="仿宋" w:hAnsi="仿宋" w:eastAsia="仿宋" w:cs="仿宋"/>
          <w:b/>
          <w:bCs/>
          <w:color w:val="000000"/>
          <w:sz w:val="28"/>
          <w:szCs w:val="28"/>
        </w:rPr>
        <w:t>同时抽取同等数量的备用样品。</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二、主要检验项目及检验项目属性划分</w:t>
      </w:r>
    </w:p>
    <w:p>
      <w:pPr>
        <w:numPr>
          <w:ilvl w:val="0"/>
          <w:numId w:val="0"/>
        </w:numPr>
        <w:adjustRightInd w:val="0"/>
        <w:snapToGrid w:val="0"/>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（1）爆竹类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35"/>
        <w:gridCol w:w="1974"/>
        <w:gridCol w:w="956"/>
        <w:gridCol w:w="805"/>
        <w:gridCol w:w="869"/>
        <w:gridCol w:w="78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检验方法</w:t>
            </w: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1974"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GB1</w:t>
            </w:r>
            <w:r>
              <w:rPr>
                <w:rFonts w:hint="eastAsia" w:ascii="仿宋" w:hAnsi="仿宋" w:eastAsia="仿宋" w:cs="仿宋"/>
                <w:sz w:val="28"/>
                <w:szCs w:val="28"/>
                <w:lang w:val="en-US" w:eastAsia="zh-CN"/>
              </w:rPr>
              <w:t>0631-2013</w:t>
            </w:r>
            <w:r>
              <w:rPr>
                <w:rFonts w:hint="eastAsia" w:ascii="仿宋" w:hAnsi="仿宋" w:eastAsia="仿宋" w:cs="仿宋"/>
                <w:sz w:val="28"/>
                <w:szCs w:val="28"/>
              </w:rPr>
              <w:t xml:space="preserve"> </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1974"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结构和材质</w:t>
            </w:r>
          </w:p>
        </w:tc>
        <w:tc>
          <w:tcPr>
            <w:tcW w:w="1974"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药种</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5</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药量</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安全性能</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燃放性能</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197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bidi w:val="0"/>
        <w:snapToGrid/>
        <w:spacing w:line="6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（2）组合烟花类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70"/>
        <w:gridCol w:w="2022"/>
        <w:gridCol w:w="913"/>
        <w:gridCol w:w="804"/>
        <w:gridCol w:w="870"/>
        <w:gridCol w:w="82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lang w:eastAsia="zh-CN"/>
              </w:rPr>
              <w:t>检验方法</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2022" w:type="dxa"/>
            <w:vMerge w:val="restart"/>
            <w:tcBorders>
              <w:top w:val="single" w:color="auto" w:sz="4" w:space="0"/>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GB10631-2013</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GB19593-2015《烟花爆竹 组合烟花》</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2022"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结构和材质</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药种</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药量</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安全性能</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燃放性能</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202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bidi w:val="0"/>
        <w:snapToGrid/>
        <w:spacing w:line="6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（3）其它烟花类（一般产品）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91"/>
        <w:gridCol w:w="2065"/>
        <w:gridCol w:w="826"/>
        <w:gridCol w:w="783"/>
        <w:gridCol w:w="913"/>
        <w:gridCol w:w="84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lang w:eastAsia="zh-CN"/>
              </w:rPr>
              <w:t>检验方法</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2065" w:type="dxa"/>
            <w:vMerge w:val="restart"/>
            <w:tcBorders>
              <w:top w:val="single" w:color="auto" w:sz="4" w:space="0"/>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lang w:val="en-US" w:eastAsia="zh-CN"/>
              </w:rPr>
            </w:pPr>
          </w:p>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GB10631-2013</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0"/>
              </w:num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2065" w:type="dxa"/>
            <w:vMerge w:val="continue"/>
            <w:tcBorders>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结构和材质</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药种</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药量</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安全性能</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燃放性能</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206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adjustRightInd w:val="0"/>
        <w:snapToGrid w:val="0"/>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注：1.执行企业标准、团体标准、地方标准的产品，检验项目参照上述内容执行。</w:t>
      </w:r>
    </w:p>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2.凡是注日期的文件，其随后所有的修改单（不包括勘误的内容）或修订版不适用于本细则。凡是不注日期的文件，其最新版本适用于本细则。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三、判定规则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（一）依据标准</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w:t>
      </w:r>
      <w:r>
        <w:rPr>
          <w:rFonts w:hint="eastAsia" w:ascii="Times New Roman" w:hAnsi="Times New Roman" w:eastAsia="仿宋_GB2312" w:cs="仿宋_GB2312"/>
          <w:sz w:val="32"/>
          <w:szCs w:val="32"/>
          <w:highlight w:val="none"/>
          <w:lang w:val="en-US" w:eastAsia="zh-CN"/>
        </w:rPr>
        <w:t>GB 10631-2013《烟花爆竹  安全与质量》</w:t>
      </w:r>
      <w:r>
        <w:rPr>
          <w:rFonts w:hint="eastAsia" w:ascii="Times New Roman" w:hAnsi="Times New Roman" w:eastAsia="仿宋_GB2312" w:cs="仿宋_GB2312"/>
          <w:sz w:val="32"/>
          <w:szCs w:val="32"/>
          <w:highlight w:val="none"/>
        </w:rPr>
        <w:t xml:space="preserve">  </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GB </w:t>
      </w:r>
      <w:r>
        <w:rPr>
          <w:rFonts w:hint="eastAsia" w:ascii="Times New Roman" w:hAnsi="Times New Roman" w:eastAsia="仿宋_GB2312" w:cs="仿宋_GB2312"/>
          <w:sz w:val="32"/>
          <w:szCs w:val="32"/>
          <w:highlight w:val="none"/>
          <w:lang w:val="en-US" w:eastAsia="zh-CN"/>
        </w:rPr>
        <w:t>19593－2015《烟花爆竹  组合烟花》</w:t>
      </w:r>
      <w:r>
        <w:rPr>
          <w:rFonts w:hint="eastAsia" w:ascii="Times New Roman" w:hAnsi="Times New Roman" w:eastAsia="仿宋_GB2312" w:cs="仿宋_GB2312"/>
          <w:sz w:val="32"/>
          <w:szCs w:val="32"/>
          <w:highlight w:val="none"/>
        </w:rPr>
        <w:t xml:space="preserve"> </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GB/T 10632-2014《烟花爆竹  抽样检查规则》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现行有效的企业标准、团体标准、地方标准及产品明示质量要求。</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（二）判定原则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经检验，检验项目全部合格，判定为抽取的样本所检项目未检出不合格；检验项目中任一项或一项以上不合格，判定为被抽查产品不合格。</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当被检样品明示的质量要求优于监督抽查实施细则中依据的标准要求时，应按被检样品明示的质量要求判定；</w:t>
      </w:r>
    </w:p>
    <w:p>
      <w:pPr>
        <w:keepNext w:val="0"/>
        <w:keepLines w:val="0"/>
        <w:pageBreakBefore w:val="0"/>
        <w:widowControl w:val="0"/>
        <w:kinsoku/>
        <w:wordWrap/>
        <w:overflowPunct/>
        <w:topLinePunct w:val="0"/>
        <w:bidi w:val="0"/>
        <w:snapToGrid/>
        <w:spacing w:line="600" w:lineRule="exact"/>
        <w:ind w:left="0" w:leftChars="0" w:firstLine="560" w:firstLineChars="200"/>
        <w:jc w:val="both"/>
        <w:textAlignment w:val="auto"/>
        <w:rPr>
          <w:rFonts w:hint="eastAsia" w:ascii="Times New Roman" w:hAnsi="Times New Roman" w:eastAsia="仿宋_GB2312" w:cs="仿宋_GB2312"/>
          <w:spacing w:val="-20"/>
          <w:sz w:val="32"/>
          <w:szCs w:val="32"/>
          <w:highlight w:val="none"/>
        </w:rPr>
      </w:pPr>
      <w:r>
        <w:rPr>
          <w:rFonts w:hint="eastAsia" w:ascii="Times New Roman" w:hAnsi="Times New Roman" w:eastAsia="仿宋_GB2312" w:cs="仿宋_GB2312"/>
          <w:spacing w:val="-20"/>
          <w:sz w:val="32"/>
          <w:szCs w:val="32"/>
          <w:highlight w:val="none"/>
        </w:rPr>
        <w:t>当被检样品明示的质量要求劣于或不包含监督抽查实施细则中依据的强制性标准要求时，应按照强制性标准要求判定；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当被检样品明示的质量要求不包含监督抽查实施细则中依据的推荐性标准要求时，该指标不参与判定，但应在检验报告中作出说明；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当被检样品未能提供有效的企业标准时，按相关国家或行业标准进行判定；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按照产品质量相关法律法规的规定判定。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检验中发现因样品失效或者其他原因致使检验无法进行的，检验人员应如实记录，并提供相关证明材料，报送组织监督抽查的市场监管部门。</w:t>
      </w:r>
    </w:p>
    <w:p>
      <w:pPr>
        <w:keepNext w:val="0"/>
        <w:keepLines w:val="0"/>
        <w:widowControl/>
        <w:suppressLineNumbers w:val="0"/>
        <w:jc w:val="both"/>
        <w:rPr>
          <w:rFonts w:hint="eastAsia" w:ascii="仿宋" w:hAnsi="仿宋" w:eastAsia="仿宋" w:cs="仿宋"/>
          <w:b/>
          <w:bCs/>
          <w:color w:val="000000"/>
          <w:kern w:val="0"/>
          <w:sz w:val="21"/>
          <w:szCs w:val="21"/>
          <w:lang w:val="en-US" w:eastAsia="zh-CN" w:bidi="ar"/>
        </w:rPr>
      </w:pPr>
    </w:p>
    <w:p>
      <w:pPr>
        <w:keepNext w:val="0"/>
        <w:keepLines w:val="0"/>
        <w:widowControl/>
        <w:suppressLineNumbers w:val="0"/>
        <w:jc w:val="both"/>
        <w:rPr>
          <w:rFonts w:hint="eastAsia" w:ascii="仿宋" w:hAnsi="仿宋" w:eastAsia="仿宋" w:cs="仿宋"/>
          <w:b/>
          <w:bCs/>
          <w:color w:val="000000"/>
          <w:kern w:val="0"/>
          <w:sz w:val="21"/>
          <w:szCs w:val="21"/>
          <w:lang w:val="en-US" w:eastAsia="zh-CN" w:bidi="ar"/>
        </w:rPr>
      </w:pPr>
    </w:p>
    <w:p>
      <w:pPr>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jc w:val="both"/>
        <w:rPr>
          <w:rFonts w:hint="eastAsia" w:ascii="仿宋" w:hAnsi="仿宋" w:eastAsia="仿宋" w:cs="仿宋"/>
          <w:b/>
          <w:bCs/>
          <w:color w:val="000000"/>
          <w:kern w:val="0"/>
          <w:sz w:val="21"/>
          <w:szCs w:val="21"/>
          <w:lang w:val="en-US" w:eastAsia="zh-CN" w:bidi="ar"/>
        </w:rPr>
      </w:pP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s="仿宋"/>
          <w:kern w:val="0"/>
          <w:sz w:val="32"/>
          <w:szCs w:val="32"/>
          <w:lang w:val="en-US" w:eastAsia="zh-CN"/>
        </w:rPr>
      </w:pP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s="仿宋"/>
          <w:kern w:val="0"/>
          <w:sz w:val="32"/>
          <w:szCs w:val="32"/>
          <w:lang w:val="en-US" w:eastAsia="zh-CN"/>
        </w:rPr>
      </w:pPr>
    </w:p>
    <w:p>
      <w:pPr>
        <w:pageBreakBefore w:val="0"/>
        <w:kinsoku/>
        <w:wordWrap/>
        <w:overflowPunct/>
        <w:bidi w:val="0"/>
        <w:spacing w:line="600" w:lineRule="exact"/>
        <w:ind w:firstLine="640" w:firstLineChars="200"/>
        <w:rPr>
          <w:rFonts w:hint="eastAsia" w:ascii="仿宋" w:hAnsi="仿宋" w:eastAsia="仿宋" w:cs="仿宋"/>
          <w:color w:val="auto"/>
          <w:kern w:val="0"/>
          <w:sz w:val="32"/>
          <w:szCs w:val="32"/>
          <w:lang w:val="en-US" w:eastAsia="zh-CN"/>
        </w:rPr>
      </w:pPr>
    </w:p>
    <w:p>
      <w:pPr>
        <w:pageBreakBefore w:val="0"/>
        <w:kinsoku/>
        <w:wordWrap/>
        <w:overflowPunct/>
        <w:bidi w:val="0"/>
        <w:spacing w:line="600" w:lineRule="exact"/>
        <w:ind w:firstLine="640" w:firstLineChars="200"/>
        <w:rPr>
          <w:rFonts w:hint="eastAsia" w:ascii="仿宋" w:hAnsi="仿宋" w:eastAsia="仿宋" w:cs="仿宋"/>
          <w:color w:val="auto"/>
          <w:kern w:val="0"/>
          <w:sz w:val="32"/>
          <w:szCs w:val="32"/>
          <w:lang w:val="en-US" w:eastAsia="zh-CN"/>
        </w:rPr>
      </w:pPr>
    </w:p>
    <w:p>
      <w:pPr>
        <w:pageBreakBefore w:val="0"/>
        <w:kinsoku/>
        <w:wordWrap/>
        <w:overflowPunct/>
        <w:bidi w:val="0"/>
        <w:spacing w:line="600" w:lineRule="exact"/>
        <w:ind w:firstLine="640" w:firstLineChars="200"/>
        <w:rPr>
          <w:rFonts w:hint="eastAsia" w:ascii="仿宋" w:hAnsi="仿宋" w:eastAsia="仿宋" w:cs="仿宋"/>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ZXiaoBiaoSong-B05S">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7DEB3278"/>
    <w:rsid w:val="01755A31"/>
    <w:rsid w:val="0A8D0EB6"/>
    <w:rsid w:val="20601CC4"/>
    <w:rsid w:val="29451F54"/>
    <w:rsid w:val="2E6B536C"/>
    <w:rsid w:val="38CD0DC8"/>
    <w:rsid w:val="3B9D98DB"/>
    <w:rsid w:val="3BE3680B"/>
    <w:rsid w:val="3BF5F653"/>
    <w:rsid w:val="4B4E3E3A"/>
    <w:rsid w:val="50D15CF8"/>
    <w:rsid w:val="50ED4000"/>
    <w:rsid w:val="55043FA3"/>
    <w:rsid w:val="55CE148E"/>
    <w:rsid w:val="6B92518A"/>
    <w:rsid w:val="70202B30"/>
    <w:rsid w:val="74EA1DF8"/>
    <w:rsid w:val="79F21C1B"/>
    <w:rsid w:val="7A7A2046"/>
    <w:rsid w:val="7DEB3278"/>
    <w:rsid w:val="BDFFB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line="600" w:lineRule="exact"/>
      <w:outlineLvl w:val="2"/>
    </w:pPr>
    <w:rPr>
      <w:rFonts w:eastAsia="楷体_GB2312"/>
      <w:b/>
      <w:sz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left="720"/>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Plain Text"/>
    <w:basedOn w:val="1"/>
    <w:qFormat/>
    <w:uiPriority w:val="0"/>
    <w:rPr>
      <w:rFonts w:ascii="宋体" w:hAnsi="Courier New" w:cs="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2023-10-14T09:35:00Z</dcterms:created>
  <dc:creator>lenovo</dc:creator>
  <cp:lastModifiedBy>dxkj</cp:lastModifiedBy>
  <cp:lastPrinted>2023-12-04T10:06:17Z</cp:lastPrinted>
  <dcterms:modified xsi:type="dcterms:W3CDTF">2023-12-04T11:03:36Z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9BA3DF12820D4938A95A76236F9D7EBF_13</vt:lpwstr>
  </property>
</Properties>
</file>