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sinsum" w:eastAsia="仿宋_GB2312" w:cs="仿宋_GB2312"/>
          <w:bCs/>
          <w:color w:val="auto"/>
          <w:kern w:val="0"/>
          <w:sz w:val="32"/>
          <w:szCs w:val="32"/>
          <w:shd w:val="clear" w:color="auto" w:fill="FFFFFF"/>
          <w:lang w:val="en-US" w:eastAsia="zh-CN" w:bidi="ar"/>
        </w:rPr>
      </w:pPr>
      <w:r>
        <w:rPr>
          <w:rFonts w:hint="eastAsia" w:ascii="仿宋_GB2312" w:hAnsi="sinsum" w:eastAsia="仿宋_GB2312" w:cs="仿宋_GB2312"/>
          <w:bCs/>
          <w:color w:val="auto"/>
          <w:kern w:val="0"/>
          <w:sz w:val="32"/>
          <w:szCs w:val="32"/>
          <w:shd w:val="clear" w:color="auto" w:fill="FFFFFF"/>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sinsum" w:eastAsia="仿宋_GB2312" w:cs="仿宋_GB2312"/>
          <w:bCs/>
          <w:color w:val="auto"/>
          <w:kern w:val="0"/>
          <w:sz w:val="32"/>
          <w:szCs w:val="32"/>
          <w:shd w:val="clear" w:color="auto" w:fill="FFFFFF"/>
          <w:lang w:val="en-US" w:eastAsia="zh-CN" w:bidi="ar"/>
        </w:rPr>
      </w:pPr>
    </w:p>
    <w:p>
      <w:pPr>
        <w:spacing w:line="640" w:lineRule="exact"/>
        <w:jc w:val="center"/>
        <w:rPr>
          <w:rFonts w:ascii="方正小标宋简体" w:hAnsi="方正小标宋简体" w:eastAsia="方正小标宋简体" w:cs="方正小标宋简体"/>
          <w:bCs/>
          <w:color w:val="auto"/>
          <w:kern w:val="0"/>
          <w:sz w:val="44"/>
          <w:szCs w:val="44"/>
          <w:shd w:val="clear" w:color="auto" w:fill="FFFFFF"/>
          <w:lang w:bidi="ar"/>
        </w:rPr>
      </w:pPr>
      <w:r>
        <w:rPr>
          <w:rFonts w:hint="eastAsia" w:ascii="方正小标宋简体" w:hAnsi="方正小标宋简体" w:eastAsia="方正小标宋简体" w:cs="方正小标宋简体"/>
          <w:bCs/>
          <w:color w:val="auto"/>
          <w:kern w:val="0"/>
          <w:sz w:val="44"/>
          <w:szCs w:val="44"/>
          <w:shd w:val="clear" w:color="auto" w:fill="FFFFFF"/>
          <w:lang w:bidi="ar"/>
        </w:rPr>
        <w:t>河源市普惠型商业补充医疗保险</w:t>
      </w:r>
      <w:r>
        <w:rPr>
          <w:rFonts w:hint="eastAsia" w:ascii="方正小标宋简体" w:hAnsi="方正小标宋简体" w:eastAsia="方正小标宋简体" w:cs="方正小标宋简体"/>
          <w:bCs/>
          <w:color w:val="auto"/>
          <w:kern w:val="0"/>
          <w:sz w:val="44"/>
          <w:szCs w:val="44"/>
          <w:shd w:val="clear" w:color="auto" w:fill="FFFFFF"/>
          <w:lang w:eastAsia="zh-CN" w:bidi="ar"/>
        </w:rPr>
        <w:t>承办</w:t>
      </w:r>
      <w:r>
        <w:rPr>
          <w:rFonts w:hint="eastAsia" w:ascii="方正小标宋简体" w:hAnsi="方正小标宋简体" w:eastAsia="方正小标宋简体" w:cs="方正小标宋简体"/>
          <w:bCs/>
          <w:color w:val="auto"/>
          <w:kern w:val="0"/>
          <w:sz w:val="44"/>
          <w:szCs w:val="44"/>
          <w:shd w:val="clear" w:color="auto" w:fill="FFFFFF"/>
          <w:lang w:bidi="ar"/>
        </w:rPr>
        <w:t>机构</w:t>
      </w:r>
    </w:p>
    <w:p>
      <w:pPr>
        <w:spacing w:line="640" w:lineRule="exact"/>
        <w:jc w:val="center"/>
        <w:rPr>
          <w:rFonts w:ascii="方正小标宋简体" w:hAnsi="方正小标宋简体" w:eastAsia="方正小标宋简体" w:cs="方正小标宋简体"/>
          <w:bCs/>
          <w:color w:val="auto"/>
          <w:kern w:val="0"/>
          <w:sz w:val="44"/>
          <w:szCs w:val="44"/>
          <w:shd w:val="clear" w:color="auto" w:fill="FFFFFF"/>
          <w:lang w:bidi="ar"/>
        </w:rPr>
      </w:pPr>
      <w:r>
        <w:rPr>
          <w:rFonts w:hint="eastAsia" w:ascii="方正小标宋简体" w:hAnsi="方正小标宋简体" w:eastAsia="方正小标宋简体" w:cs="方正小标宋简体"/>
          <w:bCs/>
          <w:color w:val="auto"/>
          <w:kern w:val="0"/>
          <w:sz w:val="44"/>
          <w:szCs w:val="44"/>
          <w:shd w:val="clear" w:color="auto" w:fill="FFFFFF"/>
          <w:lang w:bidi="ar"/>
        </w:rPr>
        <w:t>遴选标准</w:t>
      </w:r>
    </w:p>
    <w:p>
      <w:pPr>
        <w:spacing w:line="640" w:lineRule="exact"/>
        <w:jc w:val="center"/>
        <w:rPr>
          <w:rFonts w:ascii="方正小标宋简体" w:hAnsi="方正小标宋简体" w:eastAsia="方正小标宋简体" w:cs="方正小标宋简体"/>
          <w:bCs/>
          <w:color w:val="auto"/>
          <w:kern w:val="0"/>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color w:val="auto"/>
          <w:kern w:val="0"/>
          <w:sz w:val="32"/>
          <w:szCs w:val="32"/>
          <w:shd w:val="clear" w:color="auto" w:fill="FFFFFF"/>
          <w:lang w:bidi="ar"/>
        </w:rPr>
      </w:pPr>
      <w:r>
        <w:rPr>
          <w:rFonts w:hint="eastAsia" w:ascii="黑体" w:hAnsi="黑体" w:eastAsia="黑体" w:cs="黑体"/>
          <w:bCs/>
          <w:color w:val="auto"/>
          <w:kern w:val="0"/>
          <w:sz w:val="32"/>
          <w:szCs w:val="32"/>
          <w:shd w:val="clear" w:color="auto" w:fill="FFFFFF"/>
          <w:lang w:bidi="ar"/>
        </w:rPr>
        <w:t>一、资格审查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insum" w:eastAsia="仿宋_GB2312" w:cs="仿宋_GB2312"/>
          <w:bCs/>
          <w:color w:val="auto"/>
          <w:kern w:val="0"/>
          <w:sz w:val="32"/>
          <w:szCs w:val="32"/>
          <w:shd w:val="clear" w:color="auto" w:fill="FFFFFF"/>
          <w:lang w:bidi="ar"/>
        </w:rPr>
      </w:pPr>
      <w:r>
        <w:rPr>
          <w:rFonts w:ascii="仿宋_GB2312" w:hAnsi="sinsum" w:eastAsia="仿宋_GB2312" w:cs="仿宋_GB2312"/>
          <w:bCs/>
          <w:color w:val="auto"/>
          <w:kern w:val="0"/>
          <w:sz w:val="32"/>
          <w:szCs w:val="32"/>
          <w:shd w:val="clear" w:color="auto" w:fill="FFFFFF"/>
          <w:lang w:bidi="ar"/>
        </w:rPr>
        <w:t>参加</w:t>
      </w:r>
      <w:r>
        <w:rPr>
          <w:rFonts w:hint="eastAsia" w:ascii="仿宋_GB2312" w:hAnsi="sinsum" w:eastAsia="仿宋_GB2312" w:cs="仿宋_GB2312"/>
          <w:bCs/>
          <w:color w:val="auto"/>
          <w:kern w:val="0"/>
          <w:sz w:val="32"/>
          <w:szCs w:val="32"/>
          <w:shd w:val="clear" w:color="auto" w:fill="FFFFFF"/>
          <w:lang w:bidi="ar"/>
        </w:rPr>
        <w:t>遴选</w:t>
      </w:r>
      <w:r>
        <w:rPr>
          <w:rFonts w:ascii="仿宋_GB2312" w:hAnsi="sinsum" w:eastAsia="仿宋_GB2312" w:cs="仿宋_GB2312"/>
          <w:bCs/>
          <w:color w:val="auto"/>
          <w:kern w:val="0"/>
          <w:sz w:val="32"/>
          <w:szCs w:val="32"/>
          <w:shd w:val="clear" w:color="auto" w:fill="FFFFFF"/>
          <w:lang w:bidi="ar"/>
        </w:rPr>
        <w:t>的商业保险公司应同时具备以下资格</w:t>
      </w:r>
      <w:r>
        <w:rPr>
          <w:rFonts w:hint="eastAsia" w:ascii="仿宋_GB2312" w:hAnsi="sinsum" w:eastAsia="仿宋_GB2312" w:cs="仿宋_GB2312"/>
          <w:bCs/>
          <w:color w:val="auto"/>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insum" w:eastAsia="仿宋_GB2312" w:cs="仿宋_GB2312"/>
          <w:bCs/>
          <w:color w:val="auto"/>
          <w:kern w:val="0"/>
          <w:sz w:val="32"/>
          <w:szCs w:val="32"/>
          <w:shd w:val="clear" w:color="auto" w:fill="FFFFFF"/>
          <w:lang w:bidi="ar"/>
        </w:rPr>
      </w:pPr>
      <w:r>
        <w:rPr>
          <w:rFonts w:hint="eastAsia" w:ascii="仿宋_GB2312" w:hAnsi="sinsum" w:eastAsia="仿宋_GB2312" w:cs="仿宋_GB2312"/>
          <w:bCs/>
          <w:color w:val="auto"/>
          <w:kern w:val="0"/>
          <w:sz w:val="32"/>
          <w:szCs w:val="32"/>
          <w:shd w:val="clear" w:color="auto" w:fill="FFFFFF"/>
          <w:lang w:bidi="ar"/>
        </w:rPr>
        <w:t>（一）</w:t>
      </w:r>
      <w:r>
        <w:rPr>
          <w:rFonts w:ascii="仿宋_GB2312" w:hAnsi="sinsum" w:eastAsia="仿宋_GB2312" w:cs="仿宋_GB2312"/>
          <w:bCs/>
          <w:color w:val="auto"/>
          <w:kern w:val="0"/>
          <w:sz w:val="32"/>
          <w:szCs w:val="32"/>
          <w:shd w:val="clear" w:color="auto" w:fill="FFFFFF"/>
          <w:lang w:bidi="ar"/>
        </w:rPr>
        <w:t>应由</w:t>
      </w:r>
      <w:r>
        <w:rPr>
          <w:rFonts w:hint="eastAsia" w:ascii="仿宋_GB2312" w:hAnsi="sinsum" w:eastAsia="仿宋_GB2312" w:cs="仿宋_GB2312"/>
          <w:bCs/>
          <w:color w:val="auto"/>
          <w:sz w:val="32"/>
          <w:szCs w:val="32"/>
          <w:shd w:val="clear" w:color="auto" w:fill="FFFFFF"/>
        </w:rPr>
        <w:t>国家金融监督管理总局</w:t>
      </w:r>
      <w:r>
        <w:rPr>
          <w:rFonts w:ascii="仿宋_GB2312" w:hAnsi="sinsum" w:eastAsia="仿宋_GB2312" w:cs="仿宋_GB2312"/>
          <w:bCs/>
          <w:color w:val="auto"/>
          <w:kern w:val="0"/>
          <w:sz w:val="32"/>
          <w:szCs w:val="32"/>
          <w:shd w:val="clear" w:color="auto" w:fill="FFFFFF"/>
          <w:lang w:bidi="ar"/>
        </w:rPr>
        <w:t>批准在中华人民共和国境内设立和营业，并依法持有</w:t>
      </w:r>
      <w:r>
        <w:rPr>
          <w:rFonts w:hint="eastAsia" w:ascii="仿宋_GB2312" w:hAnsi="sinsum" w:eastAsia="仿宋_GB2312" w:cs="仿宋_GB2312"/>
          <w:bCs/>
          <w:color w:val="auto"/>
          <w:sz w:val="32"/>
          <w:szCs w:val="32"/>
          <w:shd w:val="clear" w:color="auto" w:fill="FFFFFF"/>
        </w:rPr>
        <w:t>国家金融监督管理总局</w:t>
      </w:r>
      <w:r>
        <w:rPr>
          <w:rFonts w:ascii="仿宋_GB2312" w:hAnsi="sinsum" w:eastAsia="仿宋_GB2312" w:cs="仿宋_GB2312"/>
          <w:bCs/>
          <w:color w:val="auto"/>
          <w:kern w:val="0"/>
          <w:sz w:val="32"/>
          <w:szCs w:val="32"/>
          <w:shd w:val="clear" w:color="auto" w:fill="FFFFFF"/>
          <w:lang w:bidi="ar"/>
        </w:rPr>
        <w:t>颁发的《保险许可证》的商业保险公司，具有统一社会信用代码的营业执照，各类证件齐全</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提供保险许可证及营业执照、法定代表人身份证明等证明文件复印件</w:t>
      </w:r>
      <w:r>
        <w:rPr>
          <w:rFonts w:hint="eastAsia" w:ascii="仿宋_GB2312" w:hAnsi="sinsum" w:eastAsia="仿宋_GB2312" w:cs="仿宋_GB2312"/>
          <w:bCs/>
          <w:color w:val="auto"/>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insum" w:eastAsia="仿宋_GB2312" w:cs="仿宋_GB2312"/>
          <w:bCs/>
          <w:color w:val="auto"/>
          <w:kern w:val="0"/>
          <w:sz w:val="32"/>
          <w:szCs w:val="32"/>
          <w:shd w:val="clear" w:color="auto" w:fill="FFFFFF"/>
          <w:lang w:bidi="ar"/>
        </w:rPr>
      </w:pPr>
      <w:r>
        <w:rPr>
          <w:rFonts w:hint="eastAsia" w:ascii="仿宋_GB2312" w:hAnsi="sinsum" w:eastAsia="仿宋_GB2312" w:cs="仿宋_GB2312"/>
          <w:bCs/>
          <w:color w:val="auto"/>
          <w:kern w:val="0"/>
          <w:sz w:val="32"/>
          <w:szCs w:val="32"/>
          <w:shd w:val="clear" w:color="auto" w:fill="FFFFFF"/>
          <w:lang w:bidi="ar"/>
        </w:rPr>
        <w:t>（二）</w:t>
      </w:r>
      <w:r>
        <w:rPr>
          <w:rFonts w:ascii="仿宋_GB2312" w:hAnsi="sinsum" w:eastAsia="仿宋_GB2312" w:cs="仿宋_GB2312"/>
          <w:bCs/>
          <w:color w:val="auto"/>
          <w:kern w:val="0"/>
          <w:sz w:val="32"/>
          <w:szCs w:val="32"/>
          <w:shd w:val="clear" w:color="auto" w:fill="FFFFFF"/>
          <w:lang w:bidi="ar"/>
        </w:rPr>
        <w:t>参加本次</w:t>
      </w:r>
      <w:r>
        <w:rPr>
          <w:rFonts w:hint="eastAsia" w:ascii="仿宋_GB2312" w:hAnsi="sinsum" w:eastAsia="仿宋_GB2312" w:cs="仿宋_GB2312"/>
          <w:bCs/>
          <w:color w:val="auto"/>
          <w:kern w:val="0"/>
          <w:sz w:val="32"/>
          <w:szCs w:val="32"/>
          <w:shd w:val="clear" w:color="auto" w:fill="FFFFFF"/>
          <w:lang w:bidi="ar"/>
        </w:rPr>
        <w:t>遴选</w:t>
      </w:r>
      <w:r>
        <w:rPr>
          <w:rFonts w:ascii="仿宋_GB2312" w:hAnsi="sinsum" w:eastAsia="仿宋_GB2312" w:cs="仿宋_GB2312"/>
          <w:bCs/>
          <w:color w:val="auto"/>
          <w:kern w:val="0"/>
          <w:sz w:val="32"/>
          <w:szCs w:val="32"/>
          <w:shd w:val="clear" w:color="auto" w:fill="FFFFFF"/>
          <w:lang w:bidi="ar"/>
        </w:rPr>
        <w:t>前3年内在经营活动中没有重大违法违规记录,未发生重大违约事件</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提供书面声明原件</w:t>
      </w:r>
      <w:r>
        <w:rPr>
          <w:rFonts w:hint="eastAsia" w:ascii="仿宋_GB2312" w:hAnsi="sinsum" w:eastAsia="仿宋_GB2312" w:cs="仿宋_GB2312"/>
          <w:bCs/>
          <w:color w:val="auto"/>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insum" w:eastAsia="仿宋_GB2312" w:cs="仿宋_GB2312"/>
          <w:bCs/>
          <w:color w:val="auto"/>
          <w:kern w:val="0"/>
          <w:sz w:val="32"/>
          <w:szCs w:val="32"/>
          <w:shd w:val="clear" w:color="auto" w:fill="FFFFFF"/>
          <w:lang w:bidi="ar"/>
        </w:rPr>
      </w:pPr>
      <w:r>
        <w:rPr>
          <w:rFonts w:hint="eastAsia" w:ascii="仿宋_GB2312" w:hAnsi="sinsum" w:eastAsia="仿宋_GB2312" w:cs="仿宋_GB2312"/>
          <w:bCs/>
          <w:color w:val="auto"/>
          <w:kern w:val="0"/>
          <w:sz w:val="32"/>
          <w:szCs w:val="32"/>
          <w:shd w:val="clear" w:color="auto" w:fill="FFFFFF"/>
          <w:lang w:bidi="ar"/>
        </w:rPr>
        <w:t>（三）</w:t>
      </w:r>
      <w:r>
        <w:rPr>
          <w:rFonts w:ascii="仿宋_GB2312" w:hAnsi="sinsum" w:eastAsia="仿宋_GB2312" w:cs="仿宋_GB2312"/>
          <w:bCs/>
          <w:color w:val="auto"/>
          <w:kern w:val="0"/>
          <w:sz w:val="32"/>
          <w:szCs w:val="32"/>
          <w:shd w:val="clear" w:color="auto" w:fill="FFFFFF"/>
          <w:lang w:bidi="ar"/>
        </w:rPr>
        <w:t>未被列入</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信用中国</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网站</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记录失信被执行人或重大税收违法案件当事人名单或政府采购严重违法失信行为</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记录名单</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不处于中国政府采购网</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政府采购严重违法失信行为信息记录</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中的禁止参加政府采购活动期间</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不需要提供证明材料，</w:t>
      </w:r>
      <w:r>
        <w:rPr>
          <w:rFonts w:hint="eastAsia" w:ascii="仿宋_GB2312" w:hAnsi="sinsum" w:eastAsia="仿宋_GB2312" w:cs="仿宋_GB2312"/>
          <w:bCs/>
          <w:color w:val="auto"/>
          <w:kern w:val="0"/>
          <w:sz w:val="32"/>
          <w:szCs w:val="32"/>
          <w:shd w:val="clear" w:color="auto" w:fill="FFFFFF"/>
          <w:lang w:bidi="ar"/>
        </w:rPr>
        <w:t>遴选</w:t>
      </w:r>
      <w:r>
        <w:rPr>
          <w:rFonts w:ascii="仿宋_GB2312" w:hAnsi="sinsum" w:eastAsia="仿宋_GB2312" w:cs="仿宋_GB2312"/>
          <w:bCs/>
          <w:color w:val="auto"/>
          <w:kern w:val="0"/>
          <w:sz w:val="32"/>
          <w:szCs w:val="32"/>
          <w:shd w:val="clear" w:color="auto" w:fill="FFFFFF"/>
          <w:lang w:bidi="ar"/>
        </w:rPr>
        <w:t>小组于</w:t>
      </w:r>
      <w:r>
        <w:rPr>
          <w:rFonts w:hint="eastAsia" w:ascii="仿宋_GB2312" w:hAnsi="sinsum" w:eastAsia="仿宋_GB2312" w:cs="仿宋_GB2312"/>
          <w:bCs/>
          <w:color w:val="auto"/>
          <w:kern w:val="0"/>
          <w:sz w:val="32"/>
          <w:szCs w:val="32"/>
          <w:shd w:val="clear" w:color="auto" w:fill="FFFFFF"/>
          <w:lang w:bidi="ar"/>
        </w:rPr>
        <w:t>遴选</w:t>
      </w:r>
      <w:r>
        <w:rPr>
          <w:rFonts w:ascii="仿宋_GB2312" w:hAnsi="sinsum" w:eastAsia="仿宋_GB2312" w:cs="仿宋_GB2312"/>
          <w:bCs/>
          <w:color w:val="auto"/>
          <w:kern w:val="0"/>
          <w:sz w:val="32"/>
          <w:szCs w:val="32"/>
          <w:shd w:val="clear" w:color="auto" w:fill="FFFFFF"/>
          <w:lang w:bidi="ar"/>
        </w:rPr>
        <w:t>当天查询商业保险公司的信用记录</w:t>
      </w:r>
      <w:r>
        <w:rPr>
          <w:rFonts w:hint="eastAsia" w:ascii="仿宋_GB2312" w:hAnsi="sinsum" w:eastAsia="仿宋_GB2312" w:cs="仿宋_GB2312"/>
          <w:bCs/>
          <w:color w:val="auto"/>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insum" w:eastAsia="仿宋_GB2312" w:cs="仿宋_GB2312"/>
          <w:bCs/>
          <w:color w:val="auto"/>
          <w:kern w:val="0"/>
          <w:sz w:val="32"/>
          <w:szCs w:val="32"/>
          <w:shd w:val="clear" w:color="auto" w:fill="FFFFFF"/>
          <w:lang w:bidi="ar"/>
        </w:rPr>
      </w:pPr>
      <w:r>
        <w:rPr>
          <w:rFonts w:hint="eastAsia" w:ascii="仿宋_GB2312" w:hAnsi="sinsum" w:eastAsia="仿宋_GB2312" w:cs="仿宋_GB2312"/>
          <w:bCs/>
          <w:color w:val="auto"/>
          <w:kern w:val="0"/>
          <w:sz w:val="32"/>
          <w:szCs w:val="32"/>
          <w:shd w:val="clear" w:color="auto" w:fill="FFFFFF"/>
          <w:lang w:bidi="ar"/>
        </w:rPr>
        <w:t>（四）</w:t>
      </w:r>
      <w:r>
        <w:rPr>
          <w:rFonts w:ascii="仿宋_GB2312" w:hAnsi="sinsum" w:eastAsia="仿宋_GB2312" w:cs="仿宋_GB2312"/>
          <w:bCs/>
          <w:color w:val="auto"/>
          <w:kern w:val="0"/>
          <w:sz w:val="32"/>
          <w:szCs w:val="32"/>
          <w:shd w:val="clear" w:color="auto" w:fill="FFFFFF"/>
          <w:lang w:bidi="ar"/>
        </w:rPr>
        <w:t>本项目允许总公司授权其</w:t>
      </w:r>
      <w:r>
        <w:rPr>
          <w:rFonts w:hint="eastAsia" w:ascii="仿宋_GB2312" w:hAnsi="sinsum" w:eastAsia="仿宋_GB2312" w:cs="仿宋_GB2312"/>
          <w:bCs/>
          <w:color w:val="auto"/>
          <w:kern w:val="0"/>
          <w:sz w:val="32"/>
          <w:szCs w:val="32"/>
          <w:shd w:val="clear" w:color="auto" w:fill="FFFFFF"/>
          <w:lang w:val="en-US" w:eastAsia="zh-CN" w:bidi="ar"/>
        </w:rPr>
        <w:t>地市级分支机构</w:t>
      </w:r>
      <w:r>
        <w:rPr>
          <w:rFonts w:ascii="仿宋_GB2312" w:hAnsi="sinsum" w:eastAsia="仿宋_GB2312" w:cs="仿宋_GB2312"/>
          <w:bCs/>
          <w:color w:val="auto"/>
          <w:kern w:val="0"/>
          <w:sz w:val="32"/>
          <w:szCs w:val="32"/>
          <w:shd w:val="clear" w:color="auto" w:fill="FFFFFF"/>
          <w:lang w:bidi="ar"/>
        </w:rPr>
        <w:t>参与本项目</w:t>
      </w:r>
      <w:r>
        <w:rPr>
          <w:rFonts w:hint="eastAsia" w:ascii="仿宋_GB2312" w:hAnsi="sinsum" w:eastAsia="仿宋_GB2312" w:cs="仿宋_GB2312"/>
          <w:bCs/>
          <w:color w:val="auto"/>
          <w:kern w:val="0"/>
          <w:sz w:val="32"/>
          <w:szCs w:val="32"/>
          <w:shd w:val="clear" w:color="auto" w:fill="FFFFFF"/>
          <w:lang w:bidi="ar"/>
        </w:rPr>
        <w:t>遴选</w:t>
      </w:r>
      <w:r>
        <w:rPr>
          <w:rFonts w:ascii="仿宋_GB2312" w:hAnsi="sinsum" w:eastAsia="仿宋_GB2312" w:cs="仿宋_GB2312"/>
          <w:bCs/>
          <w:color w:val="auto"/>
          <w:kern w:val="0"/>
          <w:sz w:val="32"/>
          <w:szCs w:val="32"/>
          <w:shd w:val="clear" w:color="auto" w:fill="FFFFFF"/>
          <w:lang w:bidi="ar"/>
        </w:rPr>
        <w:t>，授权书必须明确具体授权事项，包括明确本次</w:t>
      </w:r>
      <w:r>
        <w:rPr>
          <w:rFonts w:hint="eastAsia" w:ascii="仿宋_GB2312" w:hAnsi="sinsum" w:eastAsia="仿宋_GB2312" w:cs="仿宋_GB2312"/>
          <w:bCs/>
          <w:color w:val="auto"/>
          <w:kern w:val="0"/>
          <w:sz w:val="32"/>
          <w:szCs w:val="32"/>
          <w:shd w:val="clear" w:color="auto" w:fill="FFFFFF"/>
          <w:lang w:bidi="ar"/>
        </w:rPr>
        <w:t>遴选</w:t>
      </w:r>
      <w:r>
        <w:rPr>
          <w:rFonts w:ascii="仿宋_GB2312" w:hAnsi="sinsum" w:eastAsia="仿宋_GB2312" w:cs="仿宋_GB2312"/>
          <w:bCs/>
          <w:color w:val="auto"/>
          <w:kern w:val="0"/>
          <w:sz w:val="32"/>
          <w:szCs w:val="32"/>
          <w:shd w:val="clear" w:color="auto" w:fill="FFFFFF"/>
          <w:lang w:bidi="ar"/>
        </w:rPr>
        <w:t>的印章</w:t>
      </w:r>
      <w:r>
        <w:rPr>
          <w:rFonts w:hint="eastAsia" w:ascii="仿宋_GB2312" w:hAnsi="sinsum" w:eastAsia="仿宋_GB2312" w:cs="仿宋_GB2312"/>
          <w:bCs/>
          <w:color w:val="auto"/>
          <w:kern w:val="0"/>
          <w:sz w:val="32"/>
          <w:szCs w:val="32"/>
          <w:shd w:val="clear" w:color="auto" w:fill="FFFFFF"/>
          <w:lang w:eastAsia="zh-CN" w:bidi="ar"/>
        </w:rPr>
        <w:t>（</w:t>
      </w:r>
      <w:r>
        <w:rPr>
          <w:rFonts w:hint="eastAsia" w:ascii="仿宋_GB2312" w:hAnsi="sinsum" w:eastAsia="仿宋_GB2312" w:cs="仿宋_GB2312"/>
          <w:bCs/>
          <w:color w:val="auto"/>
          <w:kern w:val="0"/>
          <w:sz w:val="32"/>
          <w:szCs w:val="32"/>
          <w:shd w:val="clear" w:color="auto" w:fill="FFFFFF"/>
          <w:lang w:val="en-US" w:eastAsia="zh-CN" w:bidi="ar"/>
        </w:rPr>
        <w:t>电子印章</w:t>
      </w:r>
      <w:r>
        <w:rPr>
          <w:rFonts w:hint="eastAsia" w:ascii="仿宋_GB2312" w:hAnsi="sinsum" w:eastAsia="仿宋_GB2312" w:cs="仿宋_GB2312"/>
          <w:bCs/>
          <w:color w:val="auto"/>
          <w:kern w:val="0"/>
          <w:sz w:val="32"/>
          <w:szCs w:val="32"/>
          <w:shd w:val="clear" w:color="auto" w:fill="FFFFFF"/>
          <w:lang w:eastAsia="zh-CN" w:bidi="ar"/>
        </w:rPr>
        <w:t>）</w:t>
      </w:r>
      <w:r>
        <w:rPr>
          <w:rFonts w:ascii="仿宋_GB2312" w:hAnsi="sinsum" w:eastAsia="仿宋_GB2312" w:cs="仿宋_GB2312"/>
          <w:bCs/>
          <w:color w:val="auto"/>
          <w:kern w:val="0"/>
          <w:sz w:val="32"/>
          <w:szCs w:val="32"/>
          <w:shd w:val="clear" w:color="auto" w:fill="FFFFFF"/>
          <w:lang w:bidi="ar"/>
        </w:rPr>
        <w:t>、合同签署及其它商务活动</w:t>
      </w:r>
      <w:r>
        <w:rPr>
          <w:rFonts w:hint="eastAsia" w:ascii="仿宋_GB2312" w:hAnsi="sinsum" w:eastAsia="仿宋_GB2312" w:cs="仿宋_GB2312"/>
          <w:bCs/>
          <w:color w:val="auto"/>
          <w:kern w:val="0"/>
          <w:sz w:val="32"/>
          <w:szCs w:val="32"/>
          <w:shd w:val="clear" w:color="auto" w:fill="FFFFFF"/>
          <w:lang w:bidi="ar"/>
        </w:rPr>
        <w:t>（</w:t>
      </w:r>
      <w:r>
        <w:rPr>
          <w:rFonts w:ascii="仿宋_GB2312" w:hAnsi="sinsum" w:eastAsia="仿宋_GB2312" w:cs="仿宋_GB2312"/>
          <w:bCs/>
          <w:color w:val="auto"/>
          <w:kern w:val="0"/>
          <w:sz w:val="32"/>
          <w:szCs w:val="32"/>
          <w:shd w:val="clear" w:color="auto" w:fill="FFFFFF"/>
          <w:lang w:bidi="ar"/>
        </w:rPr>
        <w:t>提供总公司授权书原件</w:t>
      </w:r>
      <w:r>
        <w:rPr>
          <w:rFonts w:hint="eastAsia" w:ascii="仿宋_GB2312" w:hAnsi="sinsum" w:eastAsia="仿宋_GB2312" w:cs="仿宋_GB2312"/>
          <w:bCs/>
          <w:color w:val="auto"/>
          <w:kern w:val="0"/>
          <w:sz w:val="32"/>
          <w:szCs w:val="32"/>
          <w:shd w:val="clear" w:color="auto" w:fill="FFFFFF"/>
          <w:lang w:bidi="ar"/>
        </w:rPr>
        <w:t>）</w:t>
      </w:r>
      <w:r>
        <w:rPr>
          <w:rFonts w:hint="eastAsia" w:ascii="仿宋_GB2312" w:hAnsi="sinsum" w:eastAsia="仿宋_GB2312" w:cs="仿宋_GB2312"/>
          <w:bCs/>
          <w:color w:val="auto"/>
          <w:kern w:val="0"/>
          <w:sz w:val="32"/>
          <w:szCs w:val="32"/>
          <w:shd w:val="clear" w:color="auto" w:fill="FFFFFF"/>
          <w:lang w:eastAsia="zh-CN" w:bidi="ar"/>
        </w:rPr>
        <w:t>，</w:t>
      </w:r>
      <w:r>
        <w:rPr>
          <w:rFonts w:hint="eastAsia" w:ascii="仿宋_GB2312" w:hAnsi="sinsum" w:eastAsia="仿宋_GB2312" w:cs="仿宋_GB2312"/>
          <w:bCs/>
          <w:color w:val="auto"/>
          <w:kern w:val="0"/>
          <w:sz w:val="32"/>
          <w:szCs w:val="32"/>
          <w:shd w:val="clear" w:color="auto" w:fill="FFFFFF"/>
          <w:lang w:val="en-US" w:eastAsia="zh-CN" w:bidi="ar"/>
        </w:rPr>
        <w:t>此项资料可在中选后补充</w:t>
      </w:r>
      <w:r>
        <w:rPr>
          <w:rFonts w:hint="eastAsia" w:ascii="仿宋_GB2312" w:hAnsi="sinsum" w:eastAsia="仿宋_GB2312" w:cs="仿宋_GB2312"/>
          <w:bCs/>
          <w:color w:val="auto"/>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insum" w:eastAsia="仿宋_GB2312" w:cs="仿宋_GB2312"/>
          <w:bCs/>
          <w:color w:val="auto"/>
          <w:kern w:val="0"/>
          <w:sz w:val="32"/>
          <w:szCs w:val="32"/>
          <w:shd w:val="clear" w:color="auto" w:fill="FFFFFF"/>
          <w:lang w:bidi="ar"/>
        </w:rPr>
      </w:pPr>
      <w:r>
        <w:rPr>
          <w:rFonts w:hint="eastAsia" w:ascii="仿宋_GB2312" w:hAnsi="sinsum" w:eastAsia="仿宋_GB2312" w:cs="仿宋_GB2312"/>
          <w:bCs/>
          <w:color w:val="auto"/>
          <w:kern w:val="0"/>
          <w:sz w:val="32"/>
          <w:szCs w:val="32"/>
          <w:shd w:val="clear" w:color="auto" w:fill="FFFFFF"/>
          <w:lang w:bidi="ar"/>
        </w:rPr>
        <w:t>（五）</w:t>
      </w:r>
      <w:r>
        <w:rPr>
          <w:rFonts w:ascii="仿宋_GB2312" w:hAnsi="sinsum" w:eastAsia="仿宋_GB2312" w:cs="仿宋_GB2312"/>
          <w:bCs/>
          <w:color w:val="auto"/>
          <w:kern w:val="0"/>
          <w:sz w:val="32"/>
          <w:szCs w:val="32"/>
          <w:shd w:val="clear" w:color="auto" w:fill="FFFFFF"/>
          <w:lang w:bidi="ar"/>
        </w:rPr>
        <w:t>本项目不接受联合体申请。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color w:val="auto"/>
          <w:kern w:val="0"/>
          <w:sz w:val="32"/>
          <w:szCs w:val="32"/>
          <w:shd w:val="clear" w:color="auto" w:fill="FFFFFF"/>
          <w:lang w:bidi="ar"/>
        </w:rPr>
      </w:pPr>
      <w:r>
        <w:rPr>
          <w:rFonts w:hint="eastAsia" w:ascii="黑体" w:hAnsi="黑体" w:eastAsia="黑体" w:cs="黑体"/>
          <w:bCs/>
          <w:color w:val="auto"/>
          <w:kern w:val="0"/>
          <w:sz w:val="32"/>
          <w:szCs w:val="32"/>
          <w:shd w:val="clear" w:color="auto" w:fill="FFFFFF"/>
          <w:lang w:bidi="ar"/>
        </w:rPr>
        <w:t>二、综合评价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bCs/>
          <w:color w:val="auto"/>
          <w:kern w:val="0"/>
          <w:sz w:val="44"/>
          <w:szCs w:val="44"/>
          <w:shd w:val="clear" w:color="auto" w:fill="FFFFFF"/>
          <w:lang w:val="en-US" w:eastAsia="zh-CN" w:bidi="ar"/>
        </w:rPr>
      </w:pPr>
      <w:r>
        <w:rPr>
          <w:rFonts w:ascii="仿宋_GB2312" w:hAnsi="sinsum" w:eastAsia="仿宋_GB2312" w:cs="仿宋_GB2312"/>
          <w:bCs/>
          <w:color w:val="auto"/>
          <w:kern w:val="0"/>
          <w:sz w:val="32"/>
          <w:szCs w:val="32"/>
          <w:shd w:val="clear" w:color="auto" w:fill="FFFFFF"/>
          <w:lang w:bidi="ar"/>
        </w:rPr>
        <w:t>提交的资料全部满足上述资格审查及承诺事项审查所列各项要求的，方可进入综合评价评审</w:t>
      </w:r>
      <w:r>
        <w:rPr>
          <w:rFonts w:hint="eastAsia" w:ascii="仿宋_GB2312" w:hAnsi="sinsum" w:eastAsia="仿宋_GB2312" w:cs="仿宋_GB2312"/>
          <w:bCs/>
          <w:color w:val="auto"/>
          <w:kern w:val="0"/>
          <w:sz w:val="32"/>
          <w:szCs w:val="32"/>
          <w:shd w:val="clear" w:color="auto" w:fill="FFFFFF"/>
          <w:lang w:eastAsia="zh-CN" w:bidi="ar"/>
        </w:rPr>
        <w:t>，</w:t>
      </w:r>
      <w:r>
        <w:rPr>
          <w:rFonts w:hint="eastAsia" w:ascii="仿宋_GB2312" w:hAnsi="sinsum" w:eastAsia="仿宋_GB2312" w:cs="仿宋_GB2312"/>
          <w:bCs/>
          <w:color w:val="auto"/>
          <w:kern w:val="0"/>
          <w:sz w:val="32"/>
          <w:szCs w:val="32"/>
          <w:shd w:val="clear" w:color="auto" w:fill="FFFFFF"/>
          <w:lang w:val="en-US" w:eastAsia="zh-CN" w:bidi="ar"/>
        </w:rPr>
        <w:t>具体商务评估和技术评估评分标准（见下表）</w:t>
      </w:r>
      <w:r>
        <w:rPr>
          <w:rFonts w:hint="eastAsia" w:ascii="仿宋_GB2312" w:hAnsi="sinsum" w:eastAsia="仿宋_GB2312" w:cs="仿宋_GB2312"/>
          <w:bCs/>
          <w:color w:val="auto"/>
          <w:kern w:val="0"/>
          <w:sz w:val="32"/>
          <w:szCs w:val="32"/>
          <w:shd w:val="clear" w:color="auto" w:fill="FFFFFF"/>
          <w:lang w:bidi="ar"/>
        </w:rPr>
        <w:t>。</w:t>
      </w:r>
    </w:p>
    <w:p>
      <w:pPr>
        <w:numPr>
          <w:ilvl w:val="0"/>
          <w:numId w:val="0"/>
        </w:numPr>
        <w:spacing w:line="560" w:lineRule="exact"/>
        <w:jc w:val="center"/>
        <w:rPr>
          <w:rFonts w:hint="eastAsia" w:ascii="方正小标宋简体" w:hAnsi="方正小标宋简体" w:eastAsia="方正小标宋简体" w:cs="方正小标宋简体"/>
          <w:bCs/>
          <w:color w:val="auto"/>
          <w:kern w:val="0"/>
          <w:sz w:val="44"/>
          <w:szCs w:val="44"/>
          <w:shd w:val="clear" w:color="auto" w:fill="FFFFFF"/>
          <w:lang w:val="en-US" w:eastAsia="zh-CN" w:bidi="ar"/>
        </w:rPr>
      </w:pPr>
    </w:p>
    <w:p>
      <w:pPr>
        <w:numPr>
          <w:ilvl w:val="0"/>
          <w:numId w:val="0"/>
        </w:numPr>
        <w:spacing w:line="560" w:lineRule="exact"/>
        <w:jc w:val="center"/>
        <w:rPr>
          <w:rFonts w:hint="eastAsia" w:ascii="方正小标宋简体" w:hAnsi="方正小标宋简体" w:eastAsia="方正小标宋简体" w:cs="方正小标宋简体"/>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shd w:val="clear" w:color="auto" w:fill="FFFFFF"/>
          <w:lang w:val="en-US" w:eastAsia="zh-CN" w:bidi="ar"/>
        </w:rPr>
        <w:t>评分标准</w:t>
      </w:r>
    </w:p>
    <w:p>
      <w:pPr>
        <w:numPr>
          <w:ilvl w:val="0"/>
          <w:numId w:val="0"/>
        </w:numPr>
        <w:spacing w:line="560" w:lineRule="exact"/>
        <w:rPr>
          <w:rFonts w:hint="eastAsia" w:ascii="仿宋_GB2312" w:hAnsi="sinsum" w:eastAsia="仿宋_GB2312" w:cs="仿宋_GB2312"/>
          <w:bCs/>
          <w:color w:val="auto"/>
          <w:kern w:val="0"/>
          <w:sz w:val="32"/>
          <w:szCs w:val="32"/>
          <w:shd w:val="clear" w:color="auto" w:fill="FFFFFF"/>
          <w:lang w:bidi="ar"/>
        </w:rPr>
      </w:pPr>
      <w:r>
        <w:rPr>
          <w:rFonts w:hint="eastAsia" w:ascii="仿宋_GB2312" w:hAnsi="sinsum" w:eastAsia="仿宋_GB2312" w:cs="仿宋_GB2312"/>
          <w:bCs/>
          <w:color w:val="auto"/>
          <w:kern w:val="0"/>
          <w:sz w:val="32"/>
          <w:szCs w:val="32"/>
          <w:shd w:val="clear" w:color="auto" w:fill="FFFFFF"/>
          <w:lang w:eastAsia="zh-CN" w:bidi="ar"/>
        </w:rPr>
        <w:t>（</w:t>
      </w:r>
      <w:r>
        <w:rPr>
          <w:rFonts w:hint="eastAsia" w:ascii="仿宋_GB2312" w:hAnsi="sinsum" w:eastAsia="仿宋_GB2312" w:cs="仿宋_GB2312"/>
          <w:bCs/>
          <w:color w:val="auto"/>
          <w:kern w:val="0"/>
          <w:sz w:val="32"/>
          <w:szCs w:val="32"/>
          <w:shd w:val="clear" w:color="auto" w:fill="FFFFFF"/>
          <w:lang w:val="en-US" w:eastAsia="zh-CN" w:bidi="ar"/>
        </w:rPr>
        <w:t>一</w:t>
      </w:r>
      <w:r>
        <w:rPr>
          <w:rFonts w:hint="eastAsia" w:ascii="仿宋_GB2312" w:hAnsi="sinsum" w:eastAsia="仿宋_GB2312" w:cs="仿宋_GB2312"/>
          <w:bCs/>
          <w:color w:val="auto"/>
          <w:kern w:val="0"/>
          <w:sz w:val="32"/>
          <w:szCs w:val="32"/>
          <w:shd w:val="clear" w:color="auto" w:fill="FFFFFF"/>
          <w:lang w:eastAsia="zh-CN" w:bidi="ar"/>
        </w:rPr>
        <w:t>）</w:t>
      </w:r>
      <w:r>
        <w:rPr>
          <w:rFonts w:ascii="仿宋_GB2312" w:hAnsi="sinsum" w:eastAsia="仿宋_GB2312" w:cs="仿宋_GB2312"/>
          <w:bCs/>
          <w:color w:val="auto"/>
          <w:kern w:val="0"/>
          <w:sz w:val="32"/>
          <w:szCs w:val="32"/>
          <w:shd w:val="clear" w:color="auto" w:fill="FFFFFF"/>
          <w:lang w:bidi="ar"/>
        </w:rPr>
        <w:t xml:space="preserve">商务评估 </w:t>
      </w:r>
      <w:r>
        <w:rPr>
          <w:rFonts w:hint="eastAsia" w:ascii="仿宋_GB2312" w:hAnsi="sinsum" w:eastAsia="仿宋_GB2312" w:cs="仿宋_GB2312"/>
          <w:bCs/>
          <w:color w:val="auto"/>
          <w:kern w:val="0"/>
          <w:sz w:val="32"/>
          <w:szCs w:val="32"/>
          <w:shd w:val="clear" w:color="auto" w:fill="FFFFFF"/>
          <w:lang w:bidi="ar"/>
        </w:rPr>
        <w:t>（6</w:t>
      </w:r>
      <w:r>
        <w:rPr>
          <w:rFonts w:hint="eastAsia" w:ascii="仿宋_GB2312" w:hAnsi="sinsum" w:eastAsia="仿宋_GB2312" w:cs="仿宋_GB2312"/>
          <w:bCs/>
          <w:color w:val="auto"/>
          <w:kern w:val="0"/>
          <w:sz w:val="32"/>
          <w:szCs w:val="32"/>
          <w:shd w:val="clear" w:color="auto" w:fill="FFFFFF"/>
          <w:lang w:val="en-US" w:eastAsia="zh-CN" w:bidi="ar"/>
        </w:rPr>
        <w:t>0</w:t>
      </w:r>
      <w:r>
        <w:rPr>
          <w:rFonts w:hint="eastAsia" w:ascii="仿宋_GB2312" w:hAnsi="sinsum" w:eastAsia="仿宋_GB2312" w:cs="仿宋_GB2312"/>
          <w:bCs/>
          <w:color w:val="auto"/>
          <w:kern w:val="0"/>
          <w:sz w:val="32"/>
          <w:szCs w:val="32"/>
          <w:shd w:val="clear" w:color="auto" w:fill="FFFFFF"/>
          <w:lang w:bidi="ar"/>
        </w:rPr>
        <w:t>分）</w:t>
      </w:r>
    </w:p>
    <w:tbl>
      <w:tblPr>
        <w:tblStyle w:val="5"/>
        <w:tblW w:w="1013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395"/>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15" w:type="dxa"/>
          </w:tcPr>
          <w:p>
            <w:pPr>
              <w:spacing w:line="560" w:lineRule="exact"/>
              <w:jc w:val="center"/>
              <w:rPr>
                <w:rFonts w:ascii="黑体" w:hAnsi="黑体" w:eastAsia="黑体" w:cs="黑体"/>
                <w:bCs/>
                <w:color w:val="auto"/>
                <w:kern w:val="0"/>
                <w:sz w:val="24"/>
                <w:shd w:val="clear" w:color="auto" w:fill="FFFFFF"/>
                <w:lang w:bidi="ar"/>
              </w:rPr>
            </w:pPr>
            <w:r>
              <w:rPr>
                <w:rFonts w:hint="eastAsia" w:ascii="黑体" w:hAnsi="黑体" w:eastAsia="黑体" w:cs="黑体"/>
                <w:bCs/>
                <w:color w:val="auto"/>
                <w:kern w:val="0"/>
                <w:sz w:val="24"/>
                <w:shd w:val="clear" w:color="auto" w:fill="FFFFFF"/>
                <w:lang w:bidi="ar"/>
              </w:rPr>
              <w:t>项目</w:t>
            </w:r>
          </w:p>
        </w:tc>
        <w:tc>
          <w:tcPr>
            <w:tcW w:w="1395" w:type="dxa"/>
          </w:tcPr>
          <w:p>
            <w:pPr>
              <w:spacing w:line="560" w:lineRule="exact"/>
              <w:jc w:val="center"/>
              <w:rPr>
                <w:rFonts w:ascii="黑体" w:hAnsi="黑体" w:eastAsia="黑体" w:cs="黑体"/>
                <w:bCs/>
                <w:color w:val="auto"/>
                <w:kern w:val="0"/>
                <w:sz w:val="24"/>
                <w:shd w:val="clear" w:color="auto" w:fill="FFFFFF"/>
                <w:lang w:bidi="ar"/>
              </w:rPr>
            </w:pPr>
            <w:r>
              <w:rPr>
                <w:rFonts w:hint="eastAsia" w:ascii="黑体" w:hAnsi="黑体" w:eastAsia="黑体" w:cs="黑体"/>
                <w:bCs/>
                <w:color w:val="auto"/>
                <w:kern w:val="0"/>
                <w:sz w:val="24"/>
                <w:shd w:val="clear" w:color="auto" w:fill="FFFFFF"/>
                <w:lang w:bidi="ar"/>
              </w:rPr>
              <w:t>评分内容</w:t>
            </w:r>
          </w:p>
        </w:tc>
        <w:tc>
          <w:tcPr>
            <w:tcW w:w="7520" w:type="dxa"/>
          </w:tcPr>
          <w:p>
            <w:pPr>
              <w:spacing w:line="560" w:lineRule="exact"/>
              <w:jc w:val="center"/>
              <w:rPr>
                <w:rFonts w:ascii="黑体" w:hAnsi="黑体" w:eastAsia="黑体" w:cs="黑体"/>
                <w:bCs/>
                <w:color w:val="auto"/>
                <w:kern w:val="0"/>
                <w:sz w:val="24"/>
                <w:shd w:val="clear" w:color="auto" w:fill="FFFFFF"/>
                <w:lang w:bidi="ar"/>
              </w:rPr>
            </w:pPr>
            <w:r>
              <w:rPr>
                <w:rFonts w:hint="eastAsia" w:ascii="黑体" w:hAnsi="黑体" w:eastAsia="黑体" w:cs="黑体"/>
                <w:bCs/>
                <w:color w:val="auto"/>
                <w:kern w:val="0"/>
                <w:sz w:val="24"/>
                <w:shd w:val="clear" w:color="auto" w:fill="FFFFFF"/>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215" w:type="dxa"/>
            <w:vMerge w:val="restart"/>
            <w:vAlign w:val="center"/>
          </w:tcPr>
          <w:p>
            <w:pPr>
              <w:rPr>
                <w:color w:val="auto"/>
              </w:rPr>
            </w:pPr>
          </w:p>
          <w:p>
            <w:pPr>
              <w:rPr>
                <w:color w:val="auto"/>
              </w:rPr>
            </w:pPr>
          </w:p>
          <w:p>
            <w:pPr>
              <w:spacing w:line="340" w:lineRule="exact"/>
              <w:jc w:val="center"/>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偿付能力</w:t>
            </w:r>
          </w:p>
          <w:p>
            <w:pPr>
              <w:spacing w:line="340" w:lineRule="exact"/>
              <w:jc w:val="center"/>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w:t>
            </w:r>
            <w:r>
              <w:rPr>
                <w:rFonts w:hint="eastAsia" w:ascii="仿宋" w:hAnsi="仿宋" w:eastAsia="仿宋" w:cs="仿宋"/>
                <w:bCs w:val="0"/>
                <w:color w:val="auto"/>
                <w:kern w:val="2"/>
                <w:sz w:val="24"/>
                <w:highlight w:val="none"/>
                <w:shd w:val="clear" w:color="auto" w:fill="auto"/>
                <w:lang w:val="en-US" w:eastAsia="zh-CN" w:bidi="ar"/>
              </w:rPr>
              <w:t>10</w:t>
            </w:r>
            <w:r>
              <w:rPr>
                <w:rFonts w:hint="eastAsia" w:ascii="仿宋" w:hAnsi="仿宋" w:eastAsia="仿宋" w:cs="仿宋"/>
                <w:bCs w:val="0"/>
                <w:color w:val="auto"/>
                <w:kern w:val="2"/>
                <w:sz w:val="24"/>
                <w:highlight w:val="none"/>
                <w:shd w:val="clear" w:color="auto" w:fill="auto"/>
                <w:lang w:bidi="ar"/>
              </w:rPr>
              <w:t>分)</w:t>
            </w:r>
          </w:p>
        </w:tc>
        <w:tc>
          <w:tcPr>
            <w:tcW w:w="139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综合偿付能力充足率（</w:t>
            </w:r>
            <w:r>
              <w:rPr>
                <w:rFonts w:hint="eastAsia" w:ascii="仿宋" w:hAnsi="仿宋" w:eastAsia="仿宋" w:cs="仿宋"/>
                <w:bCs w:val="0"/>
                <w:color w:val="auto"/>
                <w:kern w:val="2"/>
                <w:sz w:val="24"/>
                <w:highlight w:val="none"/>
                <w:shd w:val="clear" w:color="auto" w:fill="auto"/>
                <w:lang w:val="en-US" w:eastAsia="zh-CN" w:bidi="ar"/>
              </w:rPr>
              <w:t>6</w:t>
            </w:r>
            <w:r>
              <w:rPr>
                <w:rFonts w:hint="eastAsia" w:ascii="仿宋" w:hAnsi="仿宋" w:eastAsia="仿宋" w:cs="仿宋"/>
                <w:bCs w:val="0"/>
                <w:color w:val="auto"/>
                <w:kern w:val="2"/>
                <w:sz w:val="24"/>
                <w:highlight w:val="none"/>
                <w:shd w:val="clear" w:color="auto" w:fill="auto"/>
                <w:lang w:bidi="ar"/>
              </w:rPr>
              <w:t>分）</w:t>
            </w:r>
          </w:p>
        </w:tc>
        <w:tc>
          <w:tcPr>
            <w:tcW w:w="752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以中国保险行业协会偿付能力信息披露栏目中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各公司的总公司公布的202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年度第四季度偿付能力报告为依据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以综合偿付能力充足率100%为基准</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100%(含)-150%，得 1分</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150%(含)-200%，得2分;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200%(含)-250%，得3分;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250%(含)-300%，得4分</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300%(含)以上，得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spacing w:line="340" w:lineRule="exact"/>
              <w:rPr>
                <w:rFonts w:hint="eastAsia" w:ascii="仿宋" w:hAnsi="仿宋" w:eastAsia="仿宋" w:cs="仿宋"/>
                <w:bCs w:val="0"/>
                <w:color w:val="auto"/>
                <w:kern w:val="2"/>
                <w:sz w:val="24"/>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15" w:type="dxa"/>
            <w:vMerge w:val="continue"/>
          </w:tcPr>
          <w:p>
            <w:pPr>
              <w:spacing w:line="340" w:lineRule="exact"/>
              <w:jc w:val="left"/>
              <w:rPr>
                <w:rFonts w:hint="eastAsia" w:ascii="仿宋" w:hAnsi="仿宋" w:eastAsia="仿宋" w:cs="仿宋"/>
                <w:bCs w:val="0"/>
                <w:color w:val="auto"/>
                <w:kern w:val="2"/>
                <w:sz w:val="24"/>
                <w:highlight w:val="none"/>
                <w:shd w:val="clear" w:color="auto" w:fill="auto"/>
                <w:lang w:bidi="ar"/>
              </w:rPr>
            </w:pPr>
          </w:p>
        </w:tc>
        <w:tc>
          <w:tcPr>
            <w:tcW w:w="139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风险综合评级(</w:t>
            </w:r>
            <w:r>
              <w:rPr>
                <w:rFonts w:hint="eastAsia" w:ascii="仿宋" w:hAnsi="仿宋" w:eastAsia="仿宋" w:cs="仿宋"/>
                <w:bCs w:val="0"/>
                <w:color w:val="auto"/>
                <w:kern w:val="2"/>
                <w:sz w:val="24"/>
                <w:highlight w:val="none"/>
                <w:shd w:val="clear" w:color="auto" w:fill="auto"/>
                <w:lang w:val="en-US" w:eastAsia="zh-CN" w:bidi="ar"/>
              </w:rPr>
              <w:t>4</w:t>
            </w:r>
            <w:r>
              <w:rPr>
                <w:rFonts w:hint="eastAsia" w:ascii="仿宋" w:hAnsi="仿宋" w:eastAsia="仿宋" w:cs="仿宋"/>
                <w:bCs w:val="0"/>
                <w:color w:val="auto"/>
                <w:kern w:val="2"/>
                <w:sz w:val="24"/>
                <w:highlight w:val="none"/>
                <w:shd w:val="clear" w:color="auto" w:fill="auto"/>
                <w:lang w:bidi="ar"/>
              </w:rPr>
              <w:t>分)</w:t>
            </w:r>
          </w:p>
        </w:tc>
        <w:tc>
          <w:tcPr>
            <w:tcW w:w="7520"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ascii="仿宋" w:hAnsi="仿宋" w:eastAsia="仿宋" w:cs="仿宋"/>
                <w:color w:val="auto"/>
                <w:sz w:val="24"/>
                <w:highlight w:val="none"/>
              </w:rPr>
              <w:t>以中国保险行业协会偿付能力信息披露栏目中各公司的总公司公布的202</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年度第四</w:t>
            </w:r>
            <w:r>
              <w:rPr>
                <w:rFonts w:hint="eastAsia" w:ascii="仿宋" w:hAnsi="仿宋" w:eastAsia="仿宋" w:cs="仿宋"/>
                <w:color w:val="auto"/>
                <w:sz w:val="24"/>
                <w:highlight w:val="none"/>
              </w:rPr>
              <w:t>季</w:t>
            </w:r>
            <w:r>
              <w:rPr>
                <w:rFonts w:ascii="仿宋" w:hAnsi="仿宋" w:eastAsia="仿宋" w:cs="仿宋"/>
                <w:color w:val="auto"/>
                <w:sz w:val="24"/>
                <w:highlight w:val="none"/>
              </w:rPr>
              <w:t>度偿付能力报告为依据</w:t>
            </w:r>
            <w:r>
              <w:rPr>
                <w:rFonts w:hint="eastAsia" w:ascii="仿宋" w:hAnsi="仿宋" w:eastAsia="仿宋" w:cs="仿宋"/>
                <w:color w:val="auto"/>
                <w:sz w:val="24"/>
                <w:highlight w:val="none"/>
                <w:lang w:eastAsia="zh-CN"/>
              </w:rPr>
              <w:t>，</w:t>
            </w:r>
            <w:r>
              <w:rPr>
                <w:rFonts w:hint="eastAsia" w:ascii="仿宋" w:hAnsi="仿宋" w:eastAsia="仿宋" w:cs="仿宋"/>
                <w:bCs w:val="0"/>
                <w:color w:val="auto"/>
                <w:kern w:val="2"/>
                <w:sz w:val="24"/>
                <w:highlight w:val="none"/>
                <w:shd w:val="clear" w:color="auto" w:fill="auto"/>
                <w:lang w:bidi="ar"/>
              </w:rPr>
              <w:t>在参评的同类型(人身险公司、财产险公司) 商业保险公司中，评级最高的得</w:t>
            </w:r>
            <w:r>
              <w:rPr>
                <w:rFonts w:hint="eastAsia" w:ascii="仿宋" w:hAnsi="仿宋" w:eastAsia="仿宋" w:cs="仿宋"/>
                <w:bCs w:val="0"/>
                <w:color w:val="auto"/>
                <w:kern w:val="2"/>
                <w:sz w:val="24"/>
                <w:highlight w:val="none"/>
                <w:shd w:val="clear" w:color="auto" w:fill="auto"/>
                <w:lang w:val="en-US" w:eastAsia="zh-CN" w:bidi="ar"/>
              </w:rPr>
              <w:t>4</w:t>
            </w:r>
            <w:r>
              <w:rPr>
                <w:rFonts w:hint="eastAsia" w:ascii="仿宋" w:hAnsi="仿宋" w:eastAsia="仿宋" w:cs="仿宋"/>
                <w:bCs w:val="0"/>
                <w:color w:val="auto"/>
                <w:kern w:val="2"/>
                <w:sz w:val="24"/>
                <w:highlight w:val="none"/>
                <w:shd w:val="clear" w:color="auto" w:fill="auto"/>
                <w:lang w:bidi="ar"/>
              </w:rPr>
              <w:t>分，其余</w:t>
            </w:r>
            <w:r>
              <w:rPr>
                <w:rFonts w:hint="eastAsia" w:ascii="仿宋" w:hAnsi="仿宋" w:eastAsia="仿宋" w:cs="仿宋"/>
                <w:bCs w:val="0"/>
                <w:color w:val="auto"/>
                <w:kern w:val="2"/>
                <w:sz w:val="24"/>
                <w:highlight w:val="none"/>
                <w:shd w:val="clear" w:color="auto" w:fill="auto"/>
                <w:lang w:val="en-US" w:eastAsia="zh-CN" w:bidi="ar"/>
              </w:rPr>
              <w:t>2</w:t>
            </w:r>
            <w:r>
              <w:rPr>
                <w:rFonts w:hint="eastAsia" w:ascii="仿宋" w:hAnsi="仿宋" w:eastAsia="仿宋" w:cs="仿宋"/>
                <w:bCs w:val="0"/>
                <w:color w:val="auto"/>
                <w:kern w:val="2"/>
                <w:sz w:val="24"/>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Merge w:val="restart"/>
            <w:vAlign w:val="center"/>
          </w:tcPr>
          <w:p>
            <w:pPr>
              <w:spacing w:line="340" w:lineRule="exact"/>
              <w:jc w:val="lef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政府项目</w:t>
            </w:r>
          </w:p>
          <w:p>
            <w:pPr>
              <w:spacing w:line="340" w:lineRule="exact"/>
              <w:jc w:val="lef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合作经验</w:t>
            </w:r>
          </w:p>
          <w:p>
            <w:pPr>
              <w:spacing w:line="340" w:lineRule="exact"/>
              <w:jc w:val="lef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(20)</w:t>
            </w:r>
          </w:p>
        </w:tc>
        <w:tc>
          <w:tcPr>
            <w:tcW w:w="139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重大疾病医疗保险保障类项目经验 (含职工大病、城乡居民大病项目)(15 分)</w:t>
            </w:r>
          </w:p>
        </w:tc>
        <w:tc>
          <w:tcPr>
            <w:tcW w:w="7520"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bidi="ar"/>
              </w:rPr>
              <w:t>商保</w:t>
            </w:r>
            <w:r>
              <w:rPr>
                <w:rFonts w:hint="eastAsia" w:ascii="仿宋" w:hAnsi="仿宋" w:eastAsia="仿宋" w:cs="仿宋"/>
                <w:bCs w:val="0"/>
                <w:color w:val="auto"/>
                <w:kern w:val="2"/>
                <w:sz w:val="24"/>
                <w:highlight w:val="none"/>
                <w:shd w:val="clear" w:color="auto" w:fill="auto"/>
                <w:lang w:eastAsia="zh-CN" w:bidi="ar"/>
              </w:rPr>
              <w:t>承办</w:t>
            </w:r>
            <w:r>
              <w:rPr>
                <w:rFonts w:hint="eastAsia" w:ascii="仿宋" w:hAnsi="仿宋" w:eastAsia="仿宋" w:cs="仿宋"/>
                <w:bCs w:val="0"/>
                <w:color w:val="auto"/>
                <w:kern w:val="2"/>
                <w:sz w:val="24"/>
                <w:highlight w:val="none"/>
                <w:shd w:val="clear" w:color="auto" w:fill="auto"/>
                <w:lang w:bidi="ar"/>
              </w:rPr>
              <w:t>广东省内地市级政府办重大疾病医疗保险保障类项目(含职工大病保险、城乡居民大病保险</w:t>
            </w:r>
            <w:r>
              <w:rPr>
                <w:rFonts w:hint="eastAsia" w:ascii="仿宋" w:hAnsi="仿宋" w:eastAsia="仿宋" w:cs="仿宋"/>
                <w:bCs w:val="0"/>
                <w:color w:val="auto"/>
                <w:kern w:val="2"/>
                <w:sz w:val="24"/>
                <w:highlight w:val="none"/>
                <w:shd w:val="clear" w:color="auto" w:fill="auto"/>
                <w:lang w:eastAsia="zh-CN" w:bidi="ar"/>
              </w:rPr>
              <w:t>、</w:t>
            </w:r>
            <w:r>
              <w:rPr>
                <w:rFonts w:hint="eastAsia" w:ascii="仿宋" w:hAnsi="仿宋" w:eastAsia="仿宋" w:cs="仿宋"/>
                <w:bCs w:val="0"/>
                <w:color w:val="auto"/>
                <w:kern w:val="2"/>
                <w:sz w:val="24"/>
                <w:highlight w:val="none"/>
                <w:shd w:val="clear" w:color="auto" w:fill="auto"/>
                <w:lang w:val="en-US" w:eastAsia="zh-CN" w:bidi="ar"/>
              </w:rPr>
              <w:t>职工大额医疗费用补助</w:t>
            </w:r>
            <w:r>
              <w:rPr>
                <w:rFonts w:hint="eastAsia" w:ascii="仿宋" w:hAnsi="仿宋" w:eastAsia="仿宋" w:cs="仿宋"/>
                <w:bCs w:val="0"/>
                <w:color w:val="auto"/>
                <w:kern w:val="2"/>
                <w:sz w:val="24"/>
                <w:highlight w:val="none"/>
                <w:shd w:val="clear" w:color="auto" w:fill="auto"/>
                <w:lang w:bidi="ar"/>
              </w:rPr>
              <w:t>)，且项目至202</w:t>
            </w:r>
            <w:r>
              <w:rPr>
                <w:rFonts w:hint="eastAsia" w:ascii="仿宋" w:hAnsi="仿宋" w:eastAsia="仿宋" w:cs="仿宋"/>
                <w:bCs w:val="0"/>
                <w:color w:val="auto"/>
                <w:kern w:val="2"/>
                <w:sz w:val="24"/>
                <w:highlight w:val="none"/>
                <w:shd w:val="clear" w:color="auto" w:fill="auto"/>
                <w:lang w:val="en-US" w:eastAsia="zh-CN" w:bidi="ar"/>
              </w:rPr>
              <w:t>3</w:t>
            </w:r>
            <w:r>
              <w:rPr>
                <w:rFonts w:hint="eastAsia" w:ascii="仿宋" w:hAnsi="仿宋" w:eastAsia="仿宋" w:cs="仿宋"/>
                <w:bCs w:val="0"/>
                <w:color w:val="auto"/>
                <w:kern w:val="2"/>
                <w:sz w:val="24"/>
                <w:highlight w:val="none"/>
                <w:shd w:val="clear" w:color="auto" w:fill="auto"/>
                <w:lang w:bidi="ar"/>
              </w:rPr>
              <w:t>年12月仍在有效期内的，每个1分，该项最高不超过15分。</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(注:</w:t>
            </w:r>
            <w:r>
              <w:rPr>
                <w:rFonts w:hint="eastAsia" w:ascii="仿宋" w:hAnsi="仿宋" w:eastAsia="仿宋" w:cs="仿宋"/>
                <w:b w:val="0"/>
                <w:bCs w:val="0"/>
                <w:color w:val="auto"/>
                <w:kern w:val="2"/>
                <w:sz w:val="24"/>
                <w:highlight w:val="none"/>
                <w:shd w:val="clear" w:color="auto" w:fill="auto"/>
                <w:lang w:bidi="ar"/>
              </w:rPr>
              <w:t>参</w:t>
            </w:r>
            <w:r>
              <w:rPr>
                <w:rFonts w:hint="eastAsia" w:ascii="仿宋" w:hAnsi="仿宋" w:eastAsia="仿宋" w:cs="仿宋"/>
                <w:b w:val="0"/>
                <w:bCs w:val="0"/>
                <w:color w:val="auto"/>
                <w:kern w:val="2"/>
                <w:sz w:val="24"/>
                <w:highlight w:val="none"/>
                <w:shd w:val="clear" w:color="auto" w:fill="auto"/>
                <w:lang w:val="en-US" w:eastAsia="zh-CN" w:bidi="ar"/>
              </w:rPr>
              <w:t>选</w:t>
            </w:r>
            <w:r>
              <w:rPr>
                <w:rFonts w:hint="eastAsia" w:ascii="仿宋" w:hAnsi="仿宋" w:eastAsia="仿宋" w:cs="仿宋"/>
                <w:b w:val="0"/>
                <w:bCs w:val="0"/>
                <w:color w:val="auto"/>
                <w:kern w:val="2"/>
                <w:sz w:val="24"/>
                <w:highlight w:val="none"/>
                <w:shd w:val="clear" w:color="auto" w:fill="auto"/>
                <w:lang w:bidi="ar"/>
              </w:rPr>
              <w:t>商保总公司、省公司、分公司、分支机构的业绩一并计算得分</w:t>
            </w:r>
            <w:r>
              <w:rPr>
                <w:rFonts w:hint="eastAsia" w:ascii="仿宋" w:hAnsi="仿宋" w:eastAsia="仿宋" w:cs="仿宋"/>
                <w:b w:val="0"/>
                <w:bCs w:val="0"/>
                <w:color w:val="auto"/>
                <w:kern w:val="2"/>
                <w:sz w:val="24"/>
                <w:highlight w:val="none"/>
                <w:shd w:val="clear" w:color="auto" w:fill="auto"/>
                <w:lang w:eastAsia="zh-CN" w:bidi="ar"/>
              </w:rPr>
              <w:t>：</w:t>
            </w:r>
            <w:r>
              <w:rPr>
                <w:rFonts w:hint="eastAsia" w:ascii="仿宋" w:hAnsi="仿宋" w:eastAsia="仿宋" w:cs="仿宋"/>
                <w:b w:val="0"/>
                <w:bCs w:val="0"/>
                <w:color w:val="auto"/>
                <w:kern w:val="2"/>
                <w:sz w:val="24"/>
                <w:highlight w:val="none"/>
                <w:shd w:val="clear" w:color="auto" w:fill="auto"/>
                <w:lang w:bidi="ar"/>
              </w:rPr>
              <w:t>提供</w:t>
            </w:r>
            <w:r>
              <w:rPr>
                <w:rFonts w:hint="eastAsia" w:ascii="仿宋" w:hAnsi="仿宋" w:eastAsia="仿宋" w:cs="仿宋"/>
                <w:bCs w:val="0"/>
                <w:color w:val="auto"/>
                <w:kern w:val="2"/>
                <w:sz w:val="24"/>
                <w:highlight w:val="none"/>
                <w:shd w:val="clear" w:color="auto" w:fill="auto"/>
                <w:lang w:bidi="ar"/>
              </w:rPr>
              <w:t>合同复印件，同一个合同含多个项目的，按项目数量计算)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215" w:type="dxa"/>
            <w:vMerge w:val="continue"/>
          </w:tcPr>
          <w:p>
            <w:pPr>
              <w:spacing w:line="340" w:lineRule="exact"/>
              <w:rPr>
                <w:rFonts w:hint="eastAsia" w:ascii="仿宋" w:hAnsi="仿宋" w:eastAsia="仿宋" w:cs="仿宋"/>
                <w:bCs w:val="0"/>
                <w:color w:val="auto"/>
                <w:kern w:val="2"/>
                <w:sz w:val="24"/>
                <w:highlight w:val="none"/>
                <w:shd w:val="clear" w:color="auto" w:fill="auto"/>
                <w:lang w:bidi="ar"/>
              </w:rPr>
            </w:pPr>
          </w:p>
        </w:tc>
        <w:tc>
          <w:tcPr>
            <w:tcW w:w="139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医保基金监管领域的合作经验 (5 分)</w:t>
            </w:r>
          </w:p>
        </w:tc>
        <w:tc>
          <w:tcPr>
            <w:tcW w:w="7520"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2022年有参与广东省省级医保领域违法违规行为专项治理交叉检查的，得5分；</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2022年有参与广东省地市级医保基金监管领域专项检查的，2分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(提供2022年省级、地市级专项检查项目的中标书或协议复印件)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1215" w:type="dxa"/>
            <w:vMerge w:val="restart"/>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服务能力</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(1</w:t>
            </w:r>
            <w:r>
              <w:rPr>
                <w:rFonts w:hint="eastAsia" w:ascii="仿宋" w:hAnsi="仿宋" w:eastAsia="仿宋" w:cs="仿宋"/>
                <w:bCs w:val="0"/>
                <w:color w:val="auto"/>
                <w:kern w:val="2"/>
                <w:sz w:val="24"/>
                <w:highlight w:val="none"/>
                <w:shd w:val="clear" w:color="auto" w:fill="auto"/>
                <w:lang w:val="en-US" w:eastAsia="zh-CN" w:bidi="ar"/>
              </w:rPr>
              <w:t>5</w:t>
            </w:r>
            <w:r>
              <w:rPr>
                <w:rFonts w:hint="eastAsia" w:ascii="仿宋" w:hAnsi="仿宋" w:eastAsia="仿宋" w:cs="仿宋"/>
                <w:bCs w:val="0"/>
                <w:color w:val="auto"/>
                <w:kern w:val="2"/>
                <w:sz w:val="24"/>
                <w:highlight w:val="none"/>
                <w:shd w:val="clear" w:color="auto" w:fill="auto"/>
                <w:lang w:bidi="ar"/>
              </w:rPr>
              <w:t xml:space="preserve"> 分)</w:t>
            </w:r>
          </w:p>
        </w:tc>
        <w:tc>
          <w:tcPr>
            <w:tcW w:w="139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投诉情况</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(满分</w:t>
            </w:r>
            <w:r>
              <w:rPr>
                <w:rFonts w:hint="eastAsia" w:ascii="仿宋" w:hAnsi="仿宋" w:eastAsia="仿宋" w:cs="仿宋"/>
                <w:bCs w:val="0"/>
                <w:color w:val="auto"/>
                <w:kern w:val="2"/>
                <w:sz w:val="24"/>
                <w:highlight w:val="none"/>
                <w:shd w:val="clear" w:color="auto" w:fill="auto"/>
                <w:lang w:val="en-US" w:eastAsia="zh-CN" w:bidi="ar"/>
              </w:rPr>
              <w:t>5</w:t>
            </w:r>
            <w:r>
              <w:rPr>
                <w:rFonts w:hint="eastAsia" w:ascii="仿宋" w:hAnsi="仿宋" w:eastAsia="仿宋" w:cs="仿宋"/>
                <w:bCs w:val="0"/>
                <w:color w:val="auto"/>
                <w:kern w:val="2"/>
                <w:sz w:val="24"/>
                <w:highlight w:val="none"/>
                <w:shd w:val="clear" w:color="auto" w:fill="auto"/>
                <w:lang w:bidi="ar"/>
              </w:rPr>
              <w:t>分)</w:t>
            </w:r>
          </w:p>
        </w:tc>
        <w:tc>
          <w:tcPr>
            <w:tcW w:w="7520"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根据</w:t>
            </w:r>
            <w:r>
              <w:rPr>
                <w:rFonts w:hint="default" w:ascii="仿宋" w:hAnsi="仿宋" w:eastAsia="仿宋" w:cs="仿宋"/>
                <w:bCs w:val="0"/>
                <w:color w:val="auto"/>
                <w:sz w:val="24"/>
                <w:szCs w:val="24"/>
                <w:highlight w:val="none"/>
                <w:shd w:val="clear" w:color="auto" w:fill="auto"/>
                <w:lang w:bidi="ar"/>
              </w:rPr>
              <w:t>国家金融监督管理总局</w:t>
            </w:r>
            <w:r>
              <w:rPr>
                <w:rFonts w:hint="eastAsia" w:ascii="仿宋" w:hAnsi="仿宋" w:eastAsia="仿宋" w:cs="仿宋"/>
                <w:bCs w:val="0"/>
                <w:color w:val="auto"/>
                <w:kern w:val="2"/>
                <w:sz w:val="24"/>
                <w:highlight w:val="none"/>
                <w:shd w:val="clear" w:color="auto" w:fill="auto"/>
                <w:lang w:bidi="ar"/>
              </w:rPr>
              <w:t>网站公布的 202</w:t>
            </w:r>
            <w:r>
              <w:rPr>
                <w:rFonts w:hint="eastAsia" w:ascii="仿宋" w:hAnsi="仿宋" w:eastAsia="仿宋" w:cs="仿宋"/>
                <w:bCs w:val="0"/>
                <w:color w:val="auto"/>
                <w:kern w:val="2"/>
                <w:sz w:val="24"/>
                <w:highlight w:val="none"/>
                <w:shd w:val="clear" w:color="auto" w:fill="auto"/>
                <w:lang w:val="en-US" w:eastAsia="zh-CN" w:bidi="ar"/>
              </w:rPr>
              <w:t>2</w:t>
            </w:r>
            <w:r>
              <w:rPr>
                <w:rFonts w:hint="eastAsia" w:ascii="仿宋" w:hAnsi="仿宋" w:eastAsia="仿宋" w:cs="仿宋"/>
                <w:bCs w:val="0"/>
                <w:color w:val="auto"/>
                <w:kern w:val="2"/>
                <w:sz w:val="24"/>
                <w:highlight w:val="none"/>
                <w:shd w:val="clear" w:color="auto" w:fill="auto"/>
                <w:lang w:bidi="ar"/>
              </w:rPr>
              <w:t>年第四季度保险消费投诉情况通报公示的同类别公司亿元保费投诉量</w:t>
            </w:r>
            <w:r>
              <w:rPr>
                <w:rFonts w:hint="eastAsia" w:ascii="仿宋" w:hAnsi="仿宋" w:eastAsia="仿宋" w:cs="仿宋"/>
                <w:bCs w:val="0"/>
                <w:color w:val="auto"/>
                <w:kern w:val="2"/>
                <w:sz w:val="24"/>
                <w:highlight w:val="none"/>
                <w:shd w:val="clear" w:color="auto" w:fill="auto"/>
                <w:lang w:eastAsia="zh-CN" w:bidi="ar"/>
              </w:rPr>
              <w:t>（</w:t>
            </w:r>
            <w:bookmarkStart w:id="0" w:name="_GoBack"/>
            <w:bookmarkEnd w:id="0"/>
            <w:r>
              <w:rPr>
                <w:rFonts w:hint="eastAsia" w:ascii="仿宋" w:hAnsi="仿宋" w:eastAsia="仿宋" w:cs="仿宋"/>
                <w:bCs w:val="0"/>
                <w:color w:val="auto"/>
                <w:kern w:val="2"/>
                <w:sz w:val="24"/>
                <w:highlight w:val="none"/>
                <w:shd w:val="clear" w:color="auto" w:fill="auto"/>
                <w:lang w:bidi="ar"/>
              </w:rPr>
              <w:t>件/亿元)进行评分(提供公告截屏及公告附件):</w:t>
            </w:r>
          </w:p>
          <w:p>
            <w:pPr>
              <w:spacing w:line="340" w:lineRule="exact"/>
              <w:rPr>
                <w:rFonts w:hint="default" w:ascii="仿宋" w:hAnsi="仿宋" w:eastAsia="仿宋" w:cs="仿宋"/>
                <w:bCs w:val="0"/>
                <w:color w:val="auto"/>
                <w:kern w:val="2"/>
                <w:sz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bidi="ar"/>
              </w:rPr>
              <w:t>根据官方公布的报表，由高到低排序，参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bidi="ar"/>
              </w:rPr>
              <w:t>的商业保险公司总公司在同类别行业(类别:财产保险公司、人身保险公司)中</w:t>
            </w:r>
            <w:r>
              <w:rPr>
                <w:rFonts w:hint="eastAsia" w:ascii="仿宋" w:hAnsi="仿宋" w:eastAsia="仿宋" w:cs="仿宋"/>
                <w:bCs w:val="0"/>
                <w:color w:val="auto"/>
                <w:kern w:val="2"/>
                <w:sz w:val="24"/>
                <w:highlight w:val="none"/>
                <w:shd w:val="clear" w:color="auto" w:fill="auto"/>
                <w:lang w:val="en-US" w:eastAsia="zh-CN" w:bidi="ar"/>
              </w:rPr>
              <w:t>排名最低的得5分，排名倒数2-3的得4分，排名倒数4-7的得3分，其他排名的得1分。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215" w:type="dxa"/>
            <w:vMerge w:val="continue"/>
          </w:tcPr>
          <w:p>
            <w:pPr>
              <w:spacing w:line="340" w:lineRule="exact"/>
              <w:rPr>
                <w:rFonts w:hint="eastAsia" w:ascii="仿宋" w:hAnsi="仿宋" w:eastAsia="仿宋" w:cs="仿宋"/>
                <w:bCs w:val="0"/>
                <w:color w:val="auto"/>
                <w:kern w:val="2"/>
                <w:sz w:val="24"/>
                <w:highlight w:val="none"/>
                <w:shd w:val="clear" w:color="auto" w:fill="auto"/>
                <w:lang w:bidi="ar"/>
              </w:rPr>
            </w:pPr>
          </w:p>
        </w:tc>
        <w:tc>
          <w:tcPr>
            <w:tcW w:w="139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网点设置</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(10分)</w:t>
            </w:r>
          </w:p>
        </w:tc>
        <w:tc>
          <w:tcPr>
            <w:tcW w:w="7520"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对参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bidi="ar"/>
              </w:rPr>
              <w:t>商保或其集团在河源市下辖设置的自有分支机构的情况进行评分:</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eastAsia="zh-CN" w:bidi="ar"/>
              </w:rPr>
              <w:t>1.参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eastAsia="zh-CN" w:bidi="ar"/>
              </w:rPr>
              <w:t>商保分支机构≥20个的，得10分；</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eastAsia="zh-CN" w:bidi="ar"/>
              </w:rPr>
              <w:t>2.15≤参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eastAsia="zh-CN" w:bidi="ar"/>
              </w:rPr>
              <w:t>商保分支机构&lt;20个的，得8分；</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eastAsia="zh-CN" w:bidi="ar"/>
              </w:rPr>
              <w:t>3.10≤参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eastAsia="zh-CN" w:bidi="ar"/>
              </w:rPr>
              <w:t>商保分支机构&lt;15个的，得6分</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eastAsia="zh-CN" w:bidi="ar"/>
              </w:rPr>
              <w:t>4.1≤参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eastAsia="zh-CN" w:bidi="ar"/>
              </w:rPr>
              <w:t>商保分支机构&lt;10个的，得4分；</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eastAsia="zh-CN" w:bidi="ar"/>
              </w:rPr>
              <w:t>5.没有在河源设网点的，不得分。</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bidi="ar"/>
              </w:rPr>
              <w:t>商保</w:t>
            </w:r>
            <w:r>
              <w:rPr>
                <w:rFonts w:hint="eastAsia" w:ascii="仿宋" w:hAnsi="仿宋" w:eastAsia="仿宋" w:cs="仿宋"/>
                <w:bCs w:val="0"/>
                <w:color w:val="auto"/>
                <w:kern w:val="2"/>
                <w:sz w:val="24"/>
                <w:highlight w:val="none"/>
                <w:shd w:val="clear" w:color="auto" w:fill="auto"/>
                <w:lang w:val="en-US" w:eastAsia="zh-CN" w:bidi="ar"/>
              </w:rPr>
              <w:t>公司</w:t>
            </w:r>
            <w:r>
              <w:rPr>
                <w:rFonts w:hint="eastAsia" w:ascii="仿宋" w:hAnsi="仿宋" w:eastAsia="仿宋" w:cs="仿宋"/>
                <w:bCs w:val="0"/>
                <w:color w:val="auto"/>
                <w:kern w:val="2"/>
                <w:sz w:val="24"/>
                <w:highlight w:val="none"/>
                <w:shd w:val="clear" w:color="auto" w:fill="auto"/>
                <w:lang w:bidi="ar"/>
              </w:rPr>
              <w:t>分支机构只允许参评商保分公司、分支机构的纳入计算，提供分支机构的营业执照及保险经营许可证复印件；同一集团机构的分支机构不纳入计算。）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121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普惠险运营经历(</w:t>
            </w:r>
            <w:r>
              <w:rPr>
                <w:rFonts w:hint="eastAsia" w:ascii="仿宋" w:hAnsi="仿宋" w:eastAsia="仿宋" w:cs="仿宋"/>
                <w:bCs w:val="0"/>
                <w:color w:val="auto"/>
                <w:kern w:val="2"/>
                <w:sz w:val="24"/>
                <w:highlight w:val="none"/>
                <w:shd w:val="clear" w:color="auto" w:fill="auto"/>
                <w:lang w:val="en-US" w:eastAsia="zh-CN" w:bidi="ar"/>
              </w:rPr>
              <w:t>15</w:t>
            </w:r>
            <w:r>
              <w:rPr>
                <w:rFonts w:hint="eastAsia" w:ascii="仿宋" w:hAnsi="仿宋" w:eastAsia="仿宋" w:cs="仿宋"/>
                <w:bCs w:val="0"/>
                <w:color w:val="auto"/>
                <w:kern w:val="2"/>
                <w:sz w:val="24"/>
                <w:highlight w:val="none"/>
                <w:shd w:val="clear" w:color="auto" w:fill="auto"/>
                <w:lang w:bidi="ar"/>
              </w:rPr>
              <w:t xml:space="preserve"> 分)</w:t>
            </w:r>
          </w:p>
        </w:tc>
        <w:tc>
          <w:tcPr>
            <w:tcW w:w="1395"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承保普惠型商业补充医疗保险项目的运营经历</w:t>
            </w:r>
          </w:p>
        </w:tc>
        <w:tc>
          <w:tcPr>
            <w:tcW w:w="7520" w:type="dxa"/>
            <w:vAlign w:val="center"/>
          </w:tcPr>
          <w:p>
            <w:pPr>
              <w:spacing w:line="340" w:lineRule="exact"/>
              <w:rPr>
                <w:rFonts w:hint="default" w:ascii="仿宋" w:hAnsi="仿宋" w:eastAsia="仿宋" w:cs="仿宋"/>
                <w:bCs w:val="0"/>
                <w:color w:val="auto"/>
                <w:kern w:val="2"/>
                <w:sz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bidi="ar"/>
              </w:rPr>
              <w:t>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bidi="ar"/>
              </w:rPr>
              <w:t>商保(含其总公司、 省公司、分公司、分支机构)</w:t>
            </w:r>
            <w:r>
              <w:rPr>
                <w:rFonts w:hint="eastAsia" w:ascii="仿宋" w:hAnsi="仿宋" w:eastAsia="仿宋" w:cs="仿宋"/>
                <w:bCs w:val="0"/>
                <w:color w:val="auto"/>
                <w:kern w:val="2"/>
                <w:sz w:val="24"/>
                <w:highlight w:val="none"/>
                <w:shd w:val="clear" w:color="auto" w:fill="auto"/>
                <w:lang w:eastAsia="zh-CN" w:bidi="ar"/>
              </w:rPr>
              <w:t>承办</w:t>
            </w:r>
            <w:r>
              <w:rPr>
                <w:rFonts w:hint="eastAsia" w:ascii="仿宋" w:hAnsi="仿宋" w:eastAsia="仿宋" w:cs="仿宋"/>
                <w:bCs w:val="0"/>
                <w:color w:val="auto"/>
                <w:kern w:val="2"/>
                <w:sz w:val="24"/>
                <w:highlight w:val="none"/>
                <w:shd w:val="clear" w:color="auto" w:fill="auto"/>
                <w:lang w:bidi="ar"/>
              </w:rPr>
              <w:t>广东省内普惠型商业补充医疗保险项目数量，每个得</w:t>
            </w:r>
            <w:r>
              <w:rPr>
                <w:rFonts w:hint="eastAsia" w:ascii="仿宋" w:hAnsi="仿宋" w:eastAsia="仿宋" w:cs="仿宋"/>
                <w:bCs w:val="0"/>
                <w:color w:val="auto"/>
                <w:kern w:val="2"/>
                <w:sz w:val="24"/>
                <w:highlight w:val="none"/>
                <w:shd w:val="clear" w:color="auto" w:fill="auto"/>
                <w:lang w:val="en-US" w:eastAsia="zh-CN" w:bidi="ar"/>
              </w:rPr>
              <w:t>1.5</w:t>
            </w:r>
            <w:r>
              <w:rPr>
                <w:rFonts w:hint="eastAsia" w:ascii="仿宋" w:hAnsi="仿宋" w:eastAsia="仿宋" w:cs="仿宋"/>
                <w:bCs w:val="0"/>
                <w:color w:val="auto"/>
                <w:kern w:val="2"/>
                <w:sz w:val="24"/>
                <w:highlight w:val="none"/>
                <w:shd w:val="clear" w:color="auto" w:fill="auto"/>
                <w:lang w:bidi="ar"/>
              </w:rPr>
              <w:t xml:space="preserve">分，最高不超过 </w:t>
            </w:r>
            <w:r>
              <w:rPr>
                <w:rFonts w:hint="eastAsia" w:ascii="仿宋" w:hAnsi="仿宋" w:eastAsia="仿宋" w:cs="仿宋"/>
                <w:bCs w:val="0"/>
                <w:color w:val="auto"/>
                <w:kern w:val="2"/>
                <w:sz w:val="24"/>
                <w:highlight w:val="none"/>
                <w:shd w:val="clear" w:color="auto" w:fill="auto"/>
                <w:lang w:val="en-US" w:eastAsia="zh-CN" w:bidi="ar"/>
              </w:rPr>
              <w:t>15</w:t>
            </w:r>
            <w:r>
              <w:rPr>
                <w:rFonts w:hint="eastAsia" w:ascii="仿宋" w:hAnsi="仿宋" w:eastAsia="仿宋" w:cs="仿宋"/>
                <w:bCs w:val="0"/>
                <w:color w:val="auto"/>
                <w:kern w:val="2"/>
                <w:sz w:val="24"/>
                <w:highlight w:val="none"/>
                <w:shd w:val="clear" w:color="auto" w:fill="auto"/>
                <w:lang w:bidi="ar"/>
              </w:rPr>
              <w:t>分。</w:t>
            </w:r>
            <w:r>
              <w:rPr>
                <w:rFonts w:hint="eastAsia" w:ascii="仿宋" w:hAnsi="仿宋" w:eastAsia="仿宋" w:cs="仿宋"/>
                <w:bCs w:val="0"/>
                <w:color w:val="auto"/>
                <w:kern w:val="2"/>
                <w:sz w:val="24"/>
                <w:highlight w:val="none"/>
                <w:shd w:val="clear" w:color="auto" w:fill="auto"/>
                <w:lang w:val="en-US" w:eastAsia="zh-CN" w:bidi="ar"/>
              </w:rPr>
              <w:t>以共保体形式承办的项目需提供共保体协议。</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（提供</w:t>
            </w:r>
            <w:r>
              <w:rPr>
                <w:rFonts w:hint="eastAsia" w:ascii="仿宋" w:hAnsi="仿宋" w:eastAsia="仿宋" w:cs="仿宋"/>
                <w:bCs w:val="0"/>
                <w:color w:val="auto"/>
                <w:kern w:val="2"/>
                <w:sz w:val="24"/>
                <w:highlight w:val="none"/>
                <w:shd w:val="clear" w:color="auto" w:fill="auto"/>
                <w:lang w:val="en-US" w:eastAsia="zh-CN" w:bidi="ar"/>
              </w:rPr>
              <w:t>中</w:t>
            </w:r>
            <w:r>
              <w:rPr>
                <w:rFonts w:hint="eastAsia" w:ascii="仿宋" w:hAnsi="仿宋" w:eastAsia="仿宋" w:cs="仿宋"/>
                <w:bCs w:val="0"/>
                <w:color w:val="auto"/>
                <w:kern w:val="2"/>
                <w:sz w:val="24"/>
                <w:highlight w:val="none"/>
                <w:shd w:val="clear" w:color="auto" w:fill="auto"/>
                <w:lang w:bidi="ar"/>
              </w:rPr>
              <w:t>选或中标通知书或与当地政府签订的合同复印件。)</w:t>
            </w:r>
          </w:p>
        </w:tc>
      </w:tr>
    </w:tbl>
    <w:p>
      <w:pPr>
        <w:tabs>
          <w:tab w:val="left" w:pos="3169"/>
        </w:tabs>
        <w:spacing w:line="560" w:lineRule="exact"/>
        <w:rPr>
          <w:rFonts w:hint="eastAsia" w:ascii="仿宋_GB2312" w:hAnsi="sinsum" w:eastAsia="仿宋_GB2312" w:cs="仿宋_GB2312"/>
          <w:bCs/>
          <w:color w:val="auto"/>
          <w:kern w:val="0"/>
          <w:sz w:val="32"/>
          <w:szCs w:val="32"/>
          <w:shd w:val="clear" w:color="auto" w:fill="FFFFFF"/>
          <w:lang w:bidi="ar"/>
        </w:rPr>
      </w:pPr>
      <w:r>
        <w:rPr>
          <w:rFonts w:hint="eastAsia" w:ascii="仿宋_GB2312" w:hAnsi="sinsum" w:eastAsia="仿宋_GB2312" w:cs="仿宋_GB2312"/>
          <w:bCs/>
          <w:color w:val="auto"/>
          <w:kern w:val="0"/>
          <w:sz w:val="32"/>
          <w:szCs w:val="32"/>
          <w:shd w:val="clear" w:color="auto" w:fill="FFFFFF"/>
          <w:lang w:bidi="ar"/>
        </w:rPr>
        <w:t>（二）</w:t>
      </w:r>
      <w:r>
        <w:rPr>
          <w:rFonts w:ascii="仿宋_GB2312" w:hAnsi="sinsum" w:eastAsia="仿宋_GB2312" w:cs="仿宋_GB2312"/>
          <w:bCs/>
          <w:color w:val="auto"/>
          <w:kern w:val="0"/>
          <w:sz w:val="32"/>
          <w:szCs w:val="32"/>
          <w:shd w:val="clear" w:color="auto" w:fill="FFFFFF"/>
          <w:lang w:bidi="ar"/>
        </w:rPr>
        <w:t>技术评估 (</w:t>
      </w:r>
      <w:r>
        <w:rPr>
          <w:rFonts w:hint="eastAsia" w:ascii="仿宋_GB2312" w:hAnsi="sinsum" w:eastAsia="仿宋_GB2312" w:cs="仿宋_GB2312"/>
          <w:bCs/>
          <w:color w:val="auto"/>
          <w:kern w:val="0"/>
          <w:sz w:val="32"/>
          <w:szCs w:val="32"/>
          <w:shd w:val="clear" w:color="auto" w:fill="FFFFFF"/>
          <w:lang w:val="en-US" w:eastAsia="zh-CN" w:bidi="ar"/>
        </w:rPr>
        <w:t>40</w:t>
      </w:r>
      <w:r>
        <w:rPr>
          <w:rFonts w:ascii="仿宋_GB2312" w:hAnsi="sinsum" w:eastAsia="仿宋_GB2312" w:cs="仿宋_GB2312"/>
          <w:bCs/>
          <w:color w:val="auto"/>
          <w:kern w:val="0"/>
          <w:sz w:val="32"/>
          <w:szCs w:val="32"/>
          <w:shd w:val="clear" w:color="auto" w:fill="FFFFFF"/>
          <w:lang w:bidi="ar"/>
        </w:rPr>
        <w:t>分)</w:t>
      </w:r>
    </w:p>
    <w:p>
      <w:pPr>
        <w:rPr>
          <w:color w:val="auto"/>
        </w:rPr>
      </w:pPr>
    </w:p>
    <w:tbl>
      <w:tblPr>
        <w:tblStyle w:val="5"/>
        <w:tblW w:w="10155"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399"/>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30" w:type="dxa"/>
            <w:vAlign w:val="center"/>
          </w:tcPr>
          <w:p>
            <w:pPr>
              <w:tabs>
                <w:tab w:val="left" w:pos="3169"/>
              </w:tabs>
              <w:spacing w:line="560" w:lineRule="exact"/>
              <w:jc w:val="both"/>
              <w:rPr>
                <w:rFonts w:ascii="黑体" w:hAnsi="黑体" w:eastAsia="黑体" w:cs="黑体"/>
                <w:bCs/>
                <w:color w:val="auto"/>
                <w:kern w:val="0"/>
                <w:sz w:val="24"/>
                <w:shd w:val="clear" w:color="auto" w:fill="FFFFFF"/>
                <w:lang w:bidi="ar"/>
              </w:rPr>
            </w:pPr>
            <w:r>
              <w:rPr>
                <w:rFonts w:hint="eastAsia" w:ascii="黑体" w:hAnsi="黑体" w:eastAsia="黑体" w:cs="黑体"/>
                <w:bCs/>
                <w:color w:val="auto"/>
                <w:kern w:val="0"/>
                <w:sz w:val="24"/>
                <w:shd w:val="clear" w:color="auto" w:fill="FFFFFF"/>
                <w:lang w:bidi="ar"/>
              </w:rPr>
              <w:t>项目</w:t>
            </w:r>
          </w:p>
        </w:tc>
        <w:tc>
          <w:tcPr>
            <w:tcW w:w="1399" w:type="dxa"/>
          </w:tcPr>
          <w:p>
            <w:pPr>
              <w:tabs>
                <w:tab w:val="left" w:pos="3169"/>
              </w:tabs>
              <w:spacing w:line="560" w:lineRule="exact"/>
              <w:jc w:val="center"/>
              <w:rPr>
                <w:rFonts w:ascii="黑体" w:hAnsi="黑体" w:eastAsia="黑体" w:cs="黑体"/>
                <w:bCs/>
                <w:color w:val="auto"/>
                <w:kern w:val="0"/>
                <w:sz w:val="24"/>
                <w:shd w:val="clear" w:color="auto" w:fill="FFFFFF"/>
                <w:lang w:bidi="ar"/>
              </w:rPr>
            </w:pPr>
            <w:r>
              <w:rPr>
                <w:rFonts w:hint="eastAsia" w:ascii="黑体" w:hAnsi="黑体" w:eastAsia="黑体" w:cs="黑体"/>
                <w:bCs/>
                <w:color w:val="auto"/>
                <w:kern w:val="0"/>
                <w:sz w:val="24"/>
                <w:shd w:val="clear" w:color="auto" w:fill="FFFFFF"/>
                <w:lang w:bidi="ar"/>
              </w:rPr>
              <w:t>评分内容</w:t>
            </w:r>
          </w:p>
        </w:tc>
        <w:tc>
          <w:tcPr>
            <w:tcW w:w="7526" w:type="dxa"/>
          </w:tcPr>
          <w:p>
            <w:pPr>
              <w:tabs>
                <w:tab w:val="left" w:pos="3169"/>
              </w:tabs>
              <w:spacing w:line="560" w:lineRule="exact"/>
              <w:jc w:val="center"/>
              <w:rPr>
                <w:rFonts w:ascii="黑体" w:hAnsi="黑体" w:eastAsia="黑体" w:cs="黑体"/>
                <w:bCs/>
                <w:color w:val="auto"/>
                <w:kern w:val="0"/>
                <w:sz w:val="24"/>
                <w:shd w:val="clear" w:color="auto" w:fill="FFFFFF"/>
                <w:lang w:bidi="ar"/>
              </w:rPr>
            </w:pPr>
            <w:r>
              <w:rPr>
                <w:rFonts w:hint="eastAsia" w:ascii="黑体" w:hAnsi="黑体" w:eastAsia="黑体" w:cs="黑体"/>
                <w:bCs/>
                <w:color w:val="auto"/>
                <w:kern w:val="0"/>
                <w:sz w:val="24"/>
                <w:shd w:val="clear" w:color="auto" w:fill="FFFFFF"/>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1230" w:type="dxa"/>
            <w:vAlign w:val="center"/>
          </w:tcPr>
          <w:p>
            <w:pPr>
              <w:spacing w:line="340" w:lineRule="exact"/>
              <w:jc w:val="both"/>
              <w:rPr>
                <w:rFonts w:hint="eastAsia" w:ascii="仿宋" w:hAnsi="仿宋" w:eastAsia="仿宋" w:cs="仿宋"/>
                <w:bCs w:val="0"/>
                <w:color w:val="auto"/>
                <w:kern w:val="2"/>
                <w:sz w:val="24"/>
                <w:szCs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bidi="ar"/>
              </w:rPr>
              <w:t>方案设计（</w:t>
            </w:r>
            <w:r>
              <w:rPr>
                <w:rFonts w:hint="eastAsia" w:ascii="仿宋" w:hAnsi="仿宋" w:eastAsia="仿宋" w:cs="仿宋"/>
                <w:bCs w:val="0"/>
                <w:color w:val="auto"/>
                <w:kern w:val="2"/>
                <w:sz w:val="24"/>
                <w:highlight w:val="none"/>
                <w:shd w:val="clear" w:color="auto" w:fill="auto"/>
                <w:lang w:val="en-US" w:eastAsia="zh-CN" w:bidi="ar"/>
              </w:rPr>
              <w:t>20</w:t>
            </w:r>
            <w:r>
              <w:rPr>
                <w:rFonts w:hint="eastAsia" w:ascii="仿宋" w:hAnsi="仿宋" w:eastAsia="仿宋" w:cs="仿宋"/>
                <w:bCs w:val="0"/>
                <w:color w:val="auto"/>
                <w:kern w:val="2"/>
                <w:sz w:val="24"/>
                <w:highlight w:val="none"/>
                <w:shd w:val="clear" w:color="auto" w:fill="auto"/>
                <w:lang w:bidi="ar"/>
              </w:rPr>
              <w:t>分）</w:t>
            </w:r>
          </w:p>
        </w:tc>
        <w:tc>
          <w:tcPr>
            <w:tcW w:w="1399" w:type="dxa"/>
            <w:vAlign w:val="center"/>
          </w:tcPr>
          <w:p>
            <w:pPr>
              <w:spacing w:line="340" w:lineRule="exact"/>
              <w:rPr>
                <w:rFonts w:hint="eastAsia" w:ascii="仿宋" w:hAnsi="仿宋" w:eastAsia="仿宋" w:cs="仿宋"/>
                <w:bCs w:val="0"/>
                <w:color w:val="auto"/>
                <w:kern w:val="2"/>
                <w:sz w:val="24"/>
                <w:szCs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bidi="ar"/>
              </w:rPr>
              <w:t>根据“</w:t>
            </w:r>
            <w:r>
              <w:rPr>
                <w:rFonts w:hint="eastAsia" w:ascii="仿宋" w:hAnsi="仿宋" w:eastAsia="仿宋" w:cs="仿宋"/>
                <w:bCs w:val="0"/>
                <w:color w:val="auto"/>
                <w:kern w:val="2"/>
                <w:sz w:val="24"/>
                <w:highlight w:val="none"/>
                <w:shd w:val="clear" w:color="auto" w:fill="auto"/>
                <w:lang w:val="en-US" w:eastAsia="zh-CN" w:bidi="ar"/>
              </w:rPr>
              <w:t>市民保（</w:t>
            </w:r>
            <w:r>
              <w:rPr>
                <w:rFonts w:hint="eastAsia" w:ascii="仿宋" w:hAnsi="仿宋" w:eastAsia="仿宋" w:cs="仿宋"/>
                <w:bCs w:val="0"/>
                <w:color w:val="auto"/>
                <w:kern w:val="2"/>
                <w:sz w:val="24"/>
                <w:highlight w:val="none"/>
                <w:shd w:val="clear" w:color="auto" w:fill="auto"/>
                <w:lang w:eastAsia="zh-CN" w:bidi="ar"/>
              </w:rPr>
              <w:t>惠民保</w:t>
            </w:r>
            <w:r>
              <w:rPr>
                <w:rFonts w:hint="eastAsia" w:ascii="仿宋" w:hAnsi="仿宋" w:eastAsia="仿宋" w:cs="仿宋"/>
                <w:bCs w:val="0"/>
                <w:color w:val="auto"/>
                <w:kern w:val="2"/>
                <w:sz w:val="24"/>
                <w:highlight w:val="none"/>
                <w:shd w:val="clear" w:color="auto" w:fill="auto"/>
                <w:lang w:val="en-US" w:eastAsia="zh-CN" w:bidi="ar"/>
              </w:rPr>
              <w:t>）</w:t>
            </w:r>
            <w:r>
              <w:rPr>
                <w:rFonts w:hint="eastAsia" w:ascii="仿宋" w:hAnsi="仿宋" w:eastAsia="仿宋" w:cs="仿宋"/>
                <w:bCs w:val="0"/>
                <w:color w:val="auto"/>
                <w:kern w:val="2"/>
                <w:sz w:val="24"/>
                <w:highlight w:val="none"/>
                <w:shd w:val="clear" w:color="auto" w:fill="auto"/>
                <w:lang w:bidi="ar"/>
              </w:rPr>
              <w:t>”方案设计内容进行评分</w:t>
            </w:r>
          </w:p>
        </w:tc>
        <w:tc>
          <w:tcPr>
            <w:tcW w:w="7526" w:type="dxa"/>
            <w:vAlign w:val="center"/>
          </w:tcPr>
          <w:p>
            <w:pPr>
              <w:spacing w:line="340" w:lineRule="exact"/>
              <w:rPr>
                <w:rFonts w:hint="eastAsia" w:ascii="仿宋" w:hAnsi="仿宋" w:eastAsia="仿宋" w:cs="仿宋"/>
                <w:bCs w:val="0"/>
                <w:color w:val="auto"/>
                <w:kern w:val="2"/>
                <w:sz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val="en-US" w:eastAsia="zh-CN" w:bidi="ar"/>
              </w:rPr>
              <w:t>根据参选商保公司上报的产品方案与《</w:t>
            </w:r>
            <w:r>
              <w:rPr>
                <w:rFonts w:hint="eastAsia" w:ascii="仿宋" w:hAnsi="仿宋" w:eastAsia="仿宋" w:cs="仿宋"/>
                <w:bCs w:val="0"/>
                <w:color w:val="auto"/>
                <w:kern w:val="2"/>
                <w:sz w:val="24"/>
                <w:highlight w:val="none"/>
                <w:shd w:val="clear" w:color="auto" w:fill="auto"/>
                <w:lang w:bidi="ar"/>
              </w:rPr>
              <w:t>河源市普惠型商业补充医疗保险</w:t>
            </w:r>
            <w:r>
              <w:rPr>
                <w:rFonts w:hint="eastAsia" w:ascii="仿宋" w:hAnsi="仿宋" w:eastAsia="仿宋" w:cs="仿宋"/>
                <w:bCs w:val="0"/>
                <w:color w:val="auto"/>
                <w:kern w:val="2"/>
                <w:sz w:val="24"/>
                <w:highlight w:val="none"/>
                <w:shd w:val="clear" w:color="auto" w:fill="auto"/>
                <w:lang w:eastAsia="zh-CN" w:bidi="ar"/>
              </w:rPr>
              <w:t>承办</w:t>
            </w:r>
            <w:r>
              <w:rPr>
                <w:rFonts w:hint="eastAsia" w:ascii="仿宋" w:hAnsi="仿宋" w:eastAsia="仿宋" w:cs="仿宋"/>
                <w:bCs w:val="0"/>
                <w:color w:val="auto"/>
                <w:kern w:val="2"/>
                <w:sz w:val="24"/>
                <w:highlight w:val="none"/>
                <w:shd w:val="clear" w:color="auto" w:fill="auto"/>
                <w:lang w:bidi="ar"/>
              </w:rPr>
              <w:t>机构遴选工作方案</w:t>
            </w:r>
            <w:r>
              <w:rPr>
                <w:rFonts w:hint="eastAsia" w:ascii="仿宋" w:hAnsi="仿宋" w:eastAsia="仿宋" w:cs="仿宋"/>
                <w:bCs w:val="0"/>
                <w:color w:val="auto"/>
                <w:kern w:val="2"/>
                <w:sz w:val="24"/>
                <w:highlight w:val="none"/>
                <w:shd w:val="clear" w:color="auto" w:fill="auto"/>
                <w:lang w:val="en-US" w:eastAsia="zh-CN" w:bidi="ar"/>
              </w:rPr>
              <w:t>》指导范围进行对比评分：</w:t>
            </w:r>
          </w:p>
          <w:p>
            <w:pPr>
              <w:spacing w:line="340" w:lineRule="exact"/>
              <w:rPr>
                <w:rFonts w:hint="eastAsia" w:ascii="仿宋" w:hAnsi="仿宋" w:eastAsia="仿宋" w:cs="仿宋"/>
                <w:bCs w:val="0"/>
                <w:color w:val="auto"/>
                <w:kern w:val="2"/>
                <w:sz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val="en-US" w:eastAsia="zh-CN" w:bidi="ar"/>
              </w:rPr>
              <w:t>1.完全响应《工作方案》中的“保险费标准”“保险待遇”“基金管理”内容的得10分，不响应不得分；</w:t>
            </w:r>
          </w:p>
          <w:p>
            <w:pPr>
              <w:spacing w:line="340" w:lineRule="exact"/>
              <w:rPr>
                <w:rFonts w:hint="eastAsia" w:ascii="仿宋" w:hAnsi="仿宋" w:eastAsia="仿宋" w:cs="仿宋"/>
                <w:bCs w:val="0"/>
                <w:color w:val="auto"/>
                <w:kern w:val="2"/>
                <w:sz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val="en-US" w:eastAsia="zh-CN" w:bidi="ar"/>
              </w:rPr>
              <w:t>2.保险费标准最低的得4分，其他的得3分；</w:t>
            </w:r>
          </w:p>
          <w:p>
            <w:pPr>
              <w:spacing w:line="340" w:lineRule="exact"/>
              <w:rPr>
                <w:rFonts w:hint="eastAsia" w:ascii="仿宋" w:hAnsi="仿宋" w:eastAsia="仿宋" w:cs="仿宋"/>
                <w:bCs w:val="0"/>
                <w:color w:val="auto"/>
                <w:kern w:val="2"/>
                <w:sz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val="en-US" w:eastAsia="zh-CN" w:bidi="ar"/>
              </w:rPr>
              <w:t>3.保险待遇最优的得4分，其他的3分；</w:t>
            </w:r>
          </w:p>
          <w:p>
            <w:pPr>
              <w:spacing w:line="340" w:lineRule="exact"/>
              <w:rPr>
                <w:rFonts w:hint="default" w:ascii="仿宋" w:hAnsi="仿宋" w:eastAsia="仿宋" w:cs="仿宋"/>
                <w:bCs w:val="0"/>
                <w:color w:val="auto"/>
                <w:kern w:val="2"/>
                <w:sz w:val="24"/>
                <w:highlight w:val="none"/>
                <w:shd w:val="clear" w:color="auto" w:fill="auto"/>
                <w:lang w:val="en-US" w:eastAsia="zh-CN" w:bidi="ar"/>
              </w:rPr>
            </w:pPr>
            <w:r>
              <w:rPr>
                <w:rFonts w:hint="eastAsia" w:ascii="仿宋" w:hAnsi="仿宋" w:eastAsia="仿宋" w:cs="仿宋"/>
                <w:bCs w:val="0"/>
                <w:color w:val="auto"/>
                <w:kern w:val="2"/>
                <w:sz w:val="24"/>
                <w:highlight w:val="none"/>
                <w:shd w:val="clear" w:color="auto" w:fill="auto"/>
                <w:lang w:val="en-US" w:eastAsia="zh-CN" w:bidi="ar"/>
              </w:rPr>
              <w:t>4.盈利率最低的得2分，其他的得1分。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1230" w:type="dxa"/>
            <w:vAlign w:val="center"/>
          </w:tcPr>
          <w:p>
            <w:pPr>
              <w:spacing w:line="340" w:lineRule="exact"/>
              <w:jc w:val="both"/>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专业团队设置(</w:t>
            </w:r>
            <w:r>
              <w:rPr>
                <w:rFonts w:hint="eastAsia" w:ascii="仿宋" w:hAnsi="仿宋" w:eastAsia="仿宋" w:cs="仿宋"/>
                <w:bCs w:val="0"/>
                <w:color w:val="auto"/>
                <w:kern w:val="2"/>
                <w:sz w:val="24"/>
                <w:highlight w:val="none"/>
                <w:shd w:val="clear" w:color="auto" w:fill="auto"/>
                <w:lang w:val="en-US" w:eastAsia="zh-CN" w:bidi="ar"/>
              </w:rPr>
              <w:t>8</w:t>
            </w:r>
            <w:r>
              <w:rPr>
                <w:rFonts w:hint="eastAsia" w:ascii="仿宋" w:hAnsi="仿宋" w:eastAsia="仿宋" w:cs="仿宋"/>
                <w:bCs w:val="0"/>
                <w:color w:val="auto"/>
                <w:kern w:val="2"/>
                <w:sz w:val="24"/>
                <w:highlight w:val="none"/>
                <w:shd w:val="clear" w:color="auto" w:fill="auto"/>
                <w:lang w:bidi="ar"/>
              </w:rPr>
              <w:t>分)</w:t>
            </w:r>
          </w:p>
        </w:tc>
        <w:tc>
          <w:tcPr>
            <w:tcW w:w="1399"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成立“</w:t>
            </w:r>
            <w:r>
              <w:rPr>
                <w:rFonts w:hint="eastAsia" w:ascii="仿宋" w:hAnsi="仿宋" w:eastAsia="仿宋" w:cs="仿宋"/>
                <w:bCs w:val="0"/>
                <w:color w:val="auto"/>
                <w:kern w:val="2"/>
                <w:sz w:val="24"/>
                <w:highlight w:val="none"/>
                <w:shd w:val="clear" w:color="auto" w:fill="auto"/>
                <w:lang w:val="en-US" w:eastAsia="zh-CN" w:bidi="ar"/>
              </w:rPr>
              <w:t>市民保（</w:t>
            </w:r>
            <w:r>
              <w:rPr>
                <w:rFonts w:hint="eastAsia" w:ascii="仿宋" w:hAnsi="仿宋" w:eastAsia="仿宋" w:cs="仿宋"/>
                <w:bCs w:val="0"/>
                <w:color w:val="auto"/>
                <w:kern w:val="2"/>
                <w:sz w:val="24"/>
                <w:highlight w:val="none"/>
                <w:shd w:val="clear" w:color="auto" w:fill="auto"/>
                <w:lang w:eastAsia="zh-CN" w:bidi="ar"/>
              </w:rPr>
              <w:t>惠民保</w:t>
            </w:r>
            <w:r>
              <w:rPr>
                <w:rFonts w:hint="eastAsia" w:ascii="仿宋" w:hAnsi="仿宋" w:eastAsia="仿宋" w:cs="仿宋"/>
                <w:bCs w:val="0"/>
                <w:color w:val="auto"/>
                <w:kern w:val="2"/>
                <w:sz w:val="24"/>
                <w:highlight w:val="none"/>
                <w:shd w:val="clear" w:color="auto" w:fill="auto"/>
                <w:lang w:val="en-US" w:eastAsia="zh-CN" w:bidi="ar"/>
              </w:rPr>
              <w:t>）</w:t>
            </w:r>
            <w:r>
              <w:rPr>
                <w:rFonts w:hint="eastAsia" w:ascii="仿宋" w:hAnsi="仿宋" w:eastAsia="仿宋" w:cs="仿宋"/>
                <w:bCs w:val="0"/>
                <w:color w:val="auto"/>
                <w:kern w:val="2"/>
                <w:sz w:val="24"/>
                <w:highlight w:val="none"/>
                <w:shd w:val="clear" w:color="auto" w:fill="auto"/>
                <w:lang w:bidi="ar"/>
              </w:rPr>
              <w:t>”专门管理团队或管理机构、建立服务工作制度的情况进行综合评价</w:t>
            </w:r>
          </w:p>
        </w:tc>
        <w:tc>
          <w:tcPr>
            <w:tcW w:w="7526" w:type="dxa"/>
            <w:vAlign w:val="center"/>
          </w:tcPr>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1.专门管理团队或管理机构配置科学合理</w:t>
            </w:r>
            <w:r>
              <w:rPr>
                <w:rFonts w:hint="eastAsia" w:ascii="仿宋" w:hAnsi="仿宋" w:eastAsia="仿宋" w:cs="仿宋"/>
                <w:bCs w:val="0"/>
                <w:color w:val="auto"/>
                <w:kern w:val="2"/>
                <w:sz w:val="24"/>
                <w:highlight w:val="none"/>
                <w:shd w:val="clear" w:color="auto" w:fill="auto"/>
                <w:lang w:eastAsia="zh-CN" w:bidi="ar"/>
              </w:rPr>
              <w:t>、</w:t>
            </w:r>
            <w:r>
              <w:rPr>
                <w:rFonts w:hint="eastAsia" w:ascii="仿宋" w:hAnsi="仿宋" w:eastAsia="仿宋" w:cs="仿宋"/>
                <w:bCs w:val="0"/>
                <w:color w:val="auto"/>
                <w:kern w:val="2"/>
                <w:sz w:val="24"/>
                <w:highlight w:val="none"/>
                <w:shd w:val="clear" w:color="auto" w:fill="auto"/>
                <w:lang w:bidi="ar"/>
              </w:rPr>
              <w:t>服务工作制度完善，得</w:t>
            </w:r>
            <w:r>
              <w:rPr>
                <w:rFonts w:hint="eastAsia" w:ascii="仿宋" w:hAnsi="仿宋" w:eastAsia="仿宋" w:cs="仿宋"/>
                <w:bCs w:val="0"/>
                <w:color w:val="auto"/>
                <w:kern w:val="2"/>
                <w:sz w:val="24"/>
                <w:highlight w:val="none"/>
                <w:shd w:val="clear" w:color="auto" w:fill="auto"/>
                <w:lang w:val="en-US" w:eastAsia="zh-CN" w:bidi="ar"/>
              </w:rPr>
              <w:t>8</w:t>
            </w:r>
            <w:r>
              <w:rPr>
                <w:rFonts w:hint="eastAsia" w:ascii="仿宋" w:hAnsi="仿宋" w:eastAsia="仿宋" w:cs="仿宋"/>
                <w:bCs w:val="0"/>
                <w:color w:val="auto"/>
                <w:kern w:val="2"/>
                <w:sz w:val="24"/>
                <w:highlight w:val="none"/>
                <w:shd w:val="clear" w:color="auto" w:fill="auto"/>
                <w:lang w:bidi="ar"/>
              </w:rPr>
              <w:t>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2.专门管理团队或管理机构配置较为科学合理</w:t>
            </w:r>
            <w:r>
              <w:rPr>
                <w:rFonts w:hint="eastAsia" w:ascii="仿宋" w:hAnsi="仿宋" w:eastAsia="仿宋" w:cs="仿宋"/>
                <w:bCs w:val="0"/>
                <w:color w:val="auto"/>
                <w:kern w:val="2"/>
                <w:sz w:val="24"/>
                <w:highlight w:val="none"/>
                <w:shd w:val="clear" w:color="auto" w:fill="auto"/>
                <w:lang w:eastAsia="zh-CN" w:bidi="ar"/>
              </w:rPr>
              <w:t>、</w:t>
            </w:r>
            <w:r>
              <w:rPr>
                <w:rFonts w:hint="eastAsia" w:ascii="仿宋" w:hAnsi="仿宋" w:eastAsia="仿宋" w:cs="仿宋"/>
                <w:bCs w:val="0"/>
                <w:color w:val="auto"/>
                <w:kern w:val="2"/>
                <w:sz w:val="24"/>
                <w:highlight w:val="none"/>
                <w:shd w:val="clear" w:color="auto" w:fill="auto"/>
                <w:lang w:bidi="ar"/>
              </w:rPr>
              <w:t xml:space="preserve">服务工作制度较为完善，得 </w:t>
            </w:r>
            <w:r>
              <w:rPr>
                <w:rFonts w:hint="eastAsia" w:ascii="仿宋" w:hAnsi="仿宋" w:eastAsia="仿宋" w:cs="仿宋"/>
                <w:bCs w:val="0"/>
                <w:color w:val="auto"/>
                <w:kern w:val="2"/>
                <w:sz w:val="24"/>
                <w:highlight w:val="none"/>
                <w:shd w:val="clear" w:color="auto" w:fill="auto"/>
                <w:lang w:val="en-US" w:eastAsia="zh-CN" w:bidi="ar"/>
              </w:rPr>
              <w:t>5</w:t>
            </w:r>
            <w:r>
              <w:rPr>
                <w:rFonts w:hint="eastAsia" w:ascii="仿宋" w:hAnsi="仿宋" w:eastAsia="仿宋" w:cs="仿宋"/>
                <w:bCs w:val="0"/>
                <w:color w:val="auto"/>
                <w:kern w:val="2"/>
                <w:sz w:val="24"/>
                <w:highlight w:val="none"/>
                <w:shd w:val="clear" w:color="auto" w:fill="auto"/>
                <w:lang w:bidi="ar"/>
              </w:rPr>
              <w:t>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3.有专门管理团队或管理机构但配置较简单</w:t>
            </w:r>
            <w:r>
              <w:rPr>
                <w:rFonts w:hint="eastAsia" w:ascii="仿宋" w:hAnsi="仿宋" w:eastAsia="仿宋" w:cs="仿宋"/>
                <w:bCs w:val="0"/>
                <w:color w:val="auto"/>
                <w:kern w:val="2"/>
                <w:sz w:val="24"/>
                <w:highlight w:val="none"/>
                <w:shd w:val="clear" w:color="auto" w:fill="auto"/>
                <w:lang w:eastAsia="zh-CN" w:bidi="ar"/>
              </w:rPr>
              <w:t>、</w:t>
            </w:r>
            <w:r>
              <w:rPr>
                <w:rFonts w:hint="eastAsia" w:ascii="仿宋" w:hAnsi="仿宋" w:eastAsia="仿宋" w:cs="仿宋"/>
                <w:bCs w:val="0"/>
                <w:color w:val="auto"/>
                <w:kern w:val="2"/>
                <w:sz w:val="24"/>
                <w:highlight w:val="none"/>
                <w:shd w:val="clear" w:color="auto" w:fill="auto"/>
                <w:lang w:bidi="ar"/>
              </w:rPr>
              <w:t xml:space="preserve">服务工作制度不完善，得 </w:t>
            </w:r>
            <w:r>
              <w:rPr>
                <w:rFonts w:hint="eastAsia" w:ascii="仿宋" w:hAnsi="仿宋" w:eastAsia="仿宋" w:cs="仿宋"/>
                <w:bCs w:val="0"/>
                <w:color w:val="auto"/>
                <w:kern w:val="2"/>
                <w:sz w:val="24"/>
                <w:highlight w:val="none"/>
                <w:shd w:val="clear" w:color="auto" w:fill="auto"/>
                <w:lang w:val="en-US" w:eastAsia="zh-CN" w:bidi="ar"/>
              </w:rPr>
              <w:t>3</w:t>
            </w:r>
            <w:r>
              <w:rPr>
                <w:rFonts w:hint="eastAsia" w:ascii="仿宋" w:hAnsi="仿宋" w:eastAsia="仿宋" w:cs="仿宋"/>
                <w:bCs w:val="0"/>
                <w:color w:val="auto"/>
                <w:kern w:val="2"/>
                <w:sz w:val="24"/>
                <w:highlight w:val="none"/>
                <w:shd w:val="clear" w:color="auto" w:fill="auto"/>
                <w:lang w:bidi="ar"/>
              </w:rPr>
              <w:t>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4.没有成立专门管理团队或管理机构或没有建立服务工作制度，得0分。</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注:提供成立团队或机构与建立工作制度情况的相关说明材料，没有提供不得分。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1230" w:type="dxa"/>
            <w:vAlign w:val="center"/>
          </w:tcPr>
          <w:p>
            <w:pPr>
              <w:spacing w:line="340" w:lineRule="exact"/>
              <w:jc w:val="both"/>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服务方案 (</w:t>
            </w:r>
            <w:r>
              <w:rPr>
                <w:rFonts w:hint="eastAsia" w:ascii="仿宋" w:hAnsi="仿宋" w:eastAsia="仿宋" w:cs="仿宋"/>
                <w:bCs w:val="0"/>
                <w:color w:val="auto"/>
                <w:kern w:val="2"/>
                <w:sz w:val="24"/>
                <w:highlight w:val="none"/>
                <w:shd w:val="clear" w:color="auto" w:fill="auto"/>
                <w:lang w:val="en-US" w:eastAsia="zh-CN" w:bidi="ar"/>
              </w:rPr>
              <w:t>8</w:t>
            </w:r>
            <w:r>
              <w:rPr>
                <w:rFonts w:hint="eastAsia" w:ascii="仿宋" w:hAnsi="仿宋" w:eastAsia="仿宋" w:cs="仿宋"/>
                <w:bCs w:val="0"/>
                <w:color w:val="auto"/>
                <w:kern w:val="2"/>
                <w:sz w:val="24"/>
                <w:highlight w:val="none"/>
                <w:shd w:val="clear" w:color="auto" w:fill="auto"/>
                <w:lang w:bidi="ar"/>
              </w:rPr>
              <w:t>分）</w:t>
            </w:r>
          </w:p>
        </w:tc>
        <w:tc>
          <w:tcPr>
            <w:tcW w:w="1399"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从实施方案设计的完整性、可行性进行评分</w:t>
            </w:r>
          </w:p>
        </w:tc>
        <w:tc>
          <w:tcPr>
            <w:tcW w:w="7526" w:type="dxa"/>
            <w:vAlign w:val="center"/>
          </w:tcPr>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1.设置专项服务热线，得</w:t>
            </w:r>
            <w:r>
              <w:rPr>
                <w:rFonts w:hint="eastAsia" w:ascii="仿宋" w:hAnsi="仿宋" w:eastAsia="仿宋" w:cs="仿宋"/>
                <w:bCs w:val="0"/>
                <w:color w:val="auto"/>
                <w:kern w:val="2"/>
                <w:sz w:val="24"/>
                <w:highlight w:val="none"/>
                <w:shd w:val="clear" w:color="auto" w:fill="auto"/>
                <w:lang w:val="en-US" w:eastAsia="zh-CN" w:bidi="ar"/>
              </w:rPr>
              <w:t>1</w:t>
            </w:r>
            <w:r>
              <w:rPr>
                <w:rFonts w:hint="eastAsia" w:ascii="仿宋" w:hAnsi="仿宋" w:eastAsia="仿宋" w:cs="仿宋"/>
                <w:bCs w:val="0"/>
                <w:color w:val="auto"/>
                <w:kern w:val="2"/>
                <w:sz w:val="24"/>
                <w:highlight w:val="none"/>
                <w:shd w:val="clear" w:color="auto" w:fill="auto"/>
                <w:lang w:bidi="ar"/>
              </w:rPr>
              <w:t>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2.提供线上咨询服务，得</w:t>
            </w:r>
            <w:r>
              <w:rPr>
                <w:rFonts w:hint="eastAsia" w:ascii="仿宋" w:hAnsi="仿宋" w:eastAsia="仿宋" w:cs="仿宋"/>
                <w:bCs w:val="0"/>
                <w:color w:val="auto"/>
                <w:kern w:val="2"/>
                <w:sz w:val="24"/>
                <w:highlight w:val="none"/>
                <w:shd w:val="clear" w:color="auto" w:fill="auto"/>
                <w:lang w:val="en-US" w:eastAsia="zh-CN" w:bidi="ar"/>
              </w:rPr>
              <w:t>1</w:t>
            </w:r>
            <w:r>
              <w:rPr>
                <w:rFonts w:hint="eastAsia" w:ascii="仿宋" w:hAnsi="仿宋" w:eastAsia="仿宋" w:cs="仿宋"/>
                <w:bCs w:val="0"/>
                <w:color w:val="auto"/>
                <w:kern w:val="2"/>
                <w:sz w:val="24"/>
                <w:highlight w:val="none"/>
                <w:shd w:val="clear" w:color="auto" w:fill="auto"/>
                <w:lang w:bidi="ar"/>
              </w:rPr>
              <w:t>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3.设置投诉应急方案，得2分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eastAsia="zh-CN" w:bidi="ar"/>
              </w:rPr>
            </w:pPr>
            <w:r>
              <w:rPr>
                <w:rFonts w:hint="eastAsia" w:ascii="仿宋" w:hAnsi="仿宋" w:eastAsia="仿宋" w:cs="仿宋"/>
                <w:bCs w:val="0"/>
                <w:color w:val="auto"/>
                <w:kern w:val="2"/>
                <w:sz w:val="24"/>
                <w:highlight w:val="none"/>
                <w:shd w:val="clear" w:color="auto" w:fill="auto"/>
                <w:lang w:bidi="ar"/>
              </w:rPr>
              <w:t xml:space="preserve">4.宣传方案内容包含网络媒体宣传、户外广告宣传、社区街道固定场所宣传、线下地推队伍宣传等内容，内容详实完善符合项目实际需求可操作性高的，得 </w:t>
            </w:r>
            <w:r>
              <w:rPr>
                <w:rFonts w:hint="eastAsia" w:ascii="仿宋" w:hAnsi="仿宋" w:eastAsia="仿宋" w:cs="仿宋"/>
                <w:bCs w:val="0"/>
                <w:color w:val="auto"/>
                <w:kern w:val="2"/>
                <w:sz w:val="24"/>
                <w:highlight w:val="none"/>
                <w:shd w:val="clear" w:color="auto" w:fill="auto"/>
                <w:lang w:val="en-US" w:eastAsia="zh-CN" w:bidi="ar"/>
              </w:rPr>
              <w:t>2</w:t>
            </w:r>
            <w:r>
              <w:rPr>
                <w:rFonts w:hint="eastAsia" w:ascii="仿宋" w:hAnsi="仿宋" w:eastAsia="仿宋" w:cs="仿宋"/>
                <w:bCs w:val="0"/>
                <w:color w:val="auto"/>
                <w:kern w:val="2"/>
                <w:sz w:val="24"/>
                <w:highlight w:val="none"/>
                <w:shd w:val="clear" w:color="auto" w:fill="auto"/>
                <w:lang w:bidi="ar"/>
              </w:rPr>
              <w:t>分</w:t>
            </w:r>
            <w:r>
              <w:rPr>
                <w:rFonts w:hint="eastAsia" w:ascii="仿宋" w:hAnsi="仿宋" w:eastAsia="仿宋" w:cs="仿宋"/>
                <w:bCs w:val="0"/>
                <w:color w:val="auto"/>
                <w:kern w:val="2"/>
                <w:sz w:val="24"/>
                <w:highlight w:val="none"/>
                <w:shd w:val="clear" w:color="auto" w:fill="auto"/>
                <w:lang w:eastAsia="zh-CN" w:bidi="ar"/>
              </w:rPr>
              <w:t>；</w:t>
            </w:r>
          </w:p>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5.提供增值服务，得</w:t>
            </w:r>
            <w:r>
              <w:rPr>
                <w:rFonts w:hint="eastAsia" w:ascii="仿宋" w:hAnsi="仿宋" w:eastAsia="仿宋" w:cs="仿宋"/>
                <w:bCs w:val="0"/>
                <w:color w:val="auto"/>
                <w:kern w:val="2"/>
                <w:sz w:val="24"/>
                <w:highlight w:val="none"/>
                <w:shd w:val="clear" w:color="auto" w:fill="auto"/>
                <w:lang w:val="en-US" w:eastAsia="zh-CN" w:bidi="ar"/>
              </w:rPr>
              <w:t>2</w:t>
            </w:r>
            <w:r>
              <w:rPr>
                <w:rFonts w:hint="eastAsia" w:ascii="仿宋" w:hAnsi="仿宋" w:eastAsia="仿宋" w:cs="仿宋"/>
                <w:bCs w:val="0"/>
                <w:color w:val="auto"/>
                <w:kern w:val="2"/>
                <w:sz w:val="24"/>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230" w:type="dxa"/>
            <w:vAlign w:val="center"/>
          </w:tcPr>
          <w:p>
            <w:pPr>
              <w:spacing w:line="340" w:lineRule="exact"/>
              <w:jc w:val="both"/>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理赔承诺</w:t>
            </w:r>
          </w:p>
          <w:p>
            <w:pPr>
              <w:spacing w:line="340" w:lineRule="exact"/>
              <w:jc w:val="both"/>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w:t>
            </w:r>
            <w:r>
              <w:rPr>
                <w:rFonts w:hint="eastAsia" w:ascii="仿宋" w:hAnsi="仿宋" w:eastAsia="仿宋" w:cs="仿宋"/>
                <w:bCs w:val="0"/>
                <w:color w:val="auto"/>
                <w:kern w:val="2"/>
                <w:sz w:val="24"/>
                <w:highlight w:val="none"/>
                <w:shd w:val="clear" w:color="auto" w:fill="auto"/>
                <w:lang w:val="en-US" w:eastAsia="zh-CN" w:bidi="ar"/>
              </w:rPr>
              <w:t>2</w:t>
            </w:r>
            <w:r>
              <w:rPr>
                <w:rFonts w:hint="eastAsia" w:ascii="仿宋" w:hAnsi="仿宋" w:eastAsia="仿宋" w:cs="仿宋"/>
                <w:bCs w:val="0"/>
                <w:color w:val="auto"/>
                <w:kern w:val="2"/>
                <w:sz w:val="24"/>
                <w:highlight w:val="none"/>
                <w:shd w:val="clear" w:color="auto" w:fill="auto"/>
                <w:lang w:bidi="ar"/>
              </w:rPr>
              <w:t>分)</w:t>
            </w:r>
          </w:p>
        </w:tc>
        <w:tc>
          <w:tcPr>
            <w:tcW w:w="1399"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根据理赔承诺事项进行评分</w:t>
            </w:r>
          </w:p>
        </w:tc>
        <w:tc>
          <w:tcPr>
            <w:tcW w:w="7526"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参</w:t>
            </w:r>
            <w:r>
              <w:rPr>
                <w:rFonts w:hint="eastAsia" w:ascii="仿宋" w:hAnsi="仿宋" w:eastAsia="仿宋" w:cs="仿宋"/>
                <w:bCs w:val="0"/>
                <w:color w:val="auto"/>
                <w:kern w:val="2"/>
                <w:sz w:val="24"/>
                <w:highlight w:val="none"/>
                <w:shd w:val="clear" w:color="auto" w:fill="auto"/>
                <w:lang w:val="en-US" w:eastAsia="zh-CN" w:bidi="ar"/>
              </w:rPr>
              <w:t>选</w:t>
            </w:r>
            <w:r>
              <w:rPr>
                <w:rFonts w:hint="eastAsia" w:ascii="仿宋" w:hAnsi="仿宋" w:eastAsia="仿宋" w:cs="仿宋"/>
                <w:bCs w:val="0"/>
                <w:color w:val="auto"/>
                <w:kern w:val="2"/>
                <w:sz w:val="24"/>
                <w:highlight w:val="none"/>
                <w:shd w:val="clear" w:color="auto" w:fill="auto"/>
                <w:lang w:bidi="ar"/>
              </w:rPr>
              <w:t>商保承诺做到理赔程序简洁清晰，时效合理及时，当期亏损时仍按规定赔付给保险人医保待遇。承诺的，得</w:t>
            </w:r>
            <w:r>
              <w:rPr>
                <w:rFonts w:hint="eastAsia" w:ascii="仿宋" w:hAnsi="仿宋" w:eastAsia="仿宋" w:cs="仿宋"/>
                <w:bCs w:val="0"/>
                <w:color w:val="auto"/>
                <w:kern w:val="2"/>
                <w:sz w:val="24"/>
                <w:highlight w:val="none"/>
                <w:shd w:val="clear" w:color="auto" w:fill="auto"/>
                <w:lang w:val="en-US" w:eastAsia="zh-CN" w:bidi="ar"/>
              </w:rPr>
              <w:t>2</w:t>
            </w:r>
            <w:r>
              <w:rPr>
                <w:rFonts w:hint="eastAsia" w:ascii="仿宋" w:hAnsi="仿宋" w:eastAsia="仿宋" w:cs="仿宋"/>
                <w:bCs w:val="0"/>
                <w:color w:val="auto"/>
                <w:kern w:val="2"/>
                <w:sz w:val="24"/>
                <w:highlight w:val="none"/>
                <w:shd w:val="clear" w:color="auto" w:fill="auto"/>
                <w:lang w:bidi="ar"/>
              </w:rPr>
              <w:t>分，不承诺的，不得分。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230" w:type="dxa"/>
            <w:vAlign w:val="center"/>
          </w:tcPr>
          <w:p>
            <w:pPr>
              <w:spacing w:line="340" w:lineRule="exact"/>
              <w:jc w:val="both"/>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运行分析</w:t>
            </w:r>
          </w:p>
          <w:p>
            <w:pPr>
              <w:spacing w:line="340" w:lineRule="exact"/>
              <w:jc w:val="both"/>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(2</w:t>
            </w:r>
            <w:r>
              <w:rPr>
                <w:rFonts w:hint="eastAsia" w:ascii="仿宋" w:hAnsi="仿宋" w:eastAsia="仿宋" w:cs="仿宋"/>
                <w:bCs w:val="0"/>
                <w:color w:val="auto"/>
                <w:kern w:val="2"/>
                <w:sz w:val="24"/>
                <w:highlight w:val="none"/>
                <w:shd w:val="clear" w:color="auto" w:fill="auto"/>
                <w:lang w:val="en-US" w:eastAsia="zh-CN" w:bidi="ar"/>
              </w:rPr>
              <w:t>分</w:t>
            </w:r>
            <w:r>
              <w:rPr>
                <w:rFonts w:hint="eastAsia" w:ascii="仿宋" w:hAnsi="仿宋" w:eastAsia="仿宋" w:cs="仿宋"/>
                <w:bCs w:val="0"/>
                <w:color w:val="auto"/>
                <w:kern w:val="2"/>
                <w:sz w:val="24"/>
                <w:highlight w:val="none"/>
                <w:shd w:val="clear" w:color="auto" w:fill="auto"/>
                <w:lang w:bidi="ar"/>
              </w:rPr>
              <w:t>)</w:t>
            </w:r>
          </w:p>
        </w:tc>
        <w:tc>
          <w:tcPr>
            <w:tcW w:w="1399"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根据运行分析承诺事项进行评分</w:t>
            </w:r>
          </w:p>
        </w:tc>
        <w:tc>
          <w:tcPr>
            <w:tcW w:w="7526" w:type="dxa"/>
            <w:vAlign w:val="center"/>
          </w:tcPr>
          <w:p>
            <w:pPr>
              <w:spacing w:line="340" w:lineRule="exact"/>
              <w:rPr>
                <w:rFonts w:hint="eastAsia" w:ascii="仿宋" w:hAnsi="仿宋" w:eastAsia="仿宋" w:cs="仿宋"/>
                <w:bCs w:val="0"/>
                <w:color w:val="auto"/>
                <w:kern w:val="2"/>
                <w:sz w:val="24"/>
                <w:highlight w:val="none"/>
                <w:shd w:val="clear" w:color="auto" w:fill="auto"/>
                <w:lang w:bidi="ar"/>
              </w:rPr>
            </w:pPr>
            <w:r>
              <w:rPr>
                <w:rFonts w:hint="eastAsia" w:ascii="仿宋" w:hAnsi="仿宋" w:eastAsia="仿宋" w:cs="仿宋"/>
                <w:bCs w:val="0"/>
                <w:color w:val="auto"/>
                <w:kern w:val="2"/>
                <w:sz w:val="24"/>
                <w:highlight w:val="none"/>
                <w:shd w:val="clear" w:color="auto" w:fill="auto"/>
                <w:lang w:bidi="ar"/>
              </w:rPr>
              <w:t>承诺派专人对项目运行情况进行分析的，得 2分。</w:t>
            </w:r>
          </w:p>
        </w:tc>
      </w:tr>
    </w:tbl>
    <w:p>
      <w:pPr>
        <w:tabs>
          <w:tab w:val="left" w:pos="3169"/>
        </w:tabs>
        <w:spacing w:line="520" w:lineRule="exact"/>
        <w:rPr>
          <w:rFonts w:hint="eastAsia" w:ascii="仿宋" w:hAnsi="仿宋" w:eastAsia="仿宋" w:cs="仿宋"/>
          <w:bCs/>
          <w:color w:val="auto"/>
          <w:kern w:val="0"/>
          <w:sz w:val="32"/>
          <w:szCs w:val="32"/>
          <w:shd w:val="clear" w:color="auto" w:fill="FFFFFF"/>
          <w:lang w:bidi="ar"/>
        </w:rPr>
      </w:pPr>
    </w:p>
    <w:p>
      <w:pPr>
        <w:rPr>
          <w:color w:val="auto"/>
        </w:rPr>
      </w:pPr>
    </w:p>
    <w:sectPr>
      <w:footerReference r:id="rId3" w:type="default"/>
      <w:pgSz w:w="11906" w:h="16838"/>
      <w:pgMar w:top="1440" w:right="1633" w:bottom="1440" w:left="1633"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DgyMjI2YTA1OWE2NjJkODQwMGZiNGFjZTA0NDkifQ=="/>
  </w:docVars>
  <w:rsids>
    <w:rsidRoot w:val="57DC610E"/>
    <w:rsid w:val="01933A29"/>
    <w:rsid w:val="06DB0A8F"/>
    <w:rsid w:val="074F40D8"/>
    <w:rsid w:val="08F8136C"/>
    <w:rsid w:val="0A1D594D"/>
    <w:rsid w:val="0E6A1F98"/>
    <w:rsid w:val="103510F8"/>
    <w:rsid w:val="10445D2A"/>
    <w:rsid w:val="139F6641"/>
    <w:rsid w:val="14E629C1"/>
    <w:rsid w:val="19394BE5"/>
    <w:rsid w:val="1E62123C"/>
    <w:rsid w:val="21296020"/>
    <w:rsid w:val="22947F00"/>
    <w:rsid w:val="26E04138"/>
    <w:rsid w:val="277C3CC4"/>
    <w:rsid w:val="281A6228"/>
    <w:rsid w:val="28E02E30"/>
    <w:rsid w:val="32CD7633"/>
    <w:rsid w:val="38FF3ECD"/>
    <w:rsid w:val="39B4773C"/>
    <w:rsid w:val="3A09701F"/>
    <w:rsid w:val="3BEB4F70"/>
    <w:rsid w:val="40D93256"/>
    <w:rsid w:val="40E63BC5"/>
    <w:rsid w:val="42EB7BF8"/>
    <w:rsid w:val="460664BB"/>
    <w:rsid w:val="46A549EA"/>
    <w:rsid w:val="57A00338"/>
    <w:rsid w:val="57DC610E"/>
    <w:rsid w:val="595B5F9F"/>
    <w:rsid w:val="5BBF0C93"/>
    <w:rsid w:val="5FB56C89"/>
    <w:rsid w:val="63DE27AE"/>
    <w:rsid w:val="65EE2A50"/>
    <w:rsid w:val="6BE84077"/>
    <w:rsid w:val="6DEE7A91"/>
    <w:rsid w:val="6E174177"/>
    <w:rsid w:val="725B76BF"/>
    <w:rsid w:val="72A62F0C"/>
    <w:rsid w:val="73443F82"/>
    <w:rsid w:val="73A330CC"/>
    <w:rsid w:val="7BF54091"/>
    <w:rsid w:val="7E9A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2023-10-25T09:42:00Z</dcterms:created>
  <dc:creator>瑾</dc:creator>
  <cp:lastModifiedBy>肖维杰</cp:lastModifiedBy>
  <cp:lastPrinted>2023-10-30T03:30:00Z</cp:lastPrinted>
  <dcterms:modified xsi:type="dcterms:W3CDTF">2023-11-03T09:35:35Z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E034A1D5FFF94211A1188E07C4C1C569_11</vt:lpwstr>
  </property>
</Properties>
</file>