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8" w:beforeLines="50" w:beforeAutospacing="0" w:after="288" w:afterLines="5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highlight w:val="none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highlight w:val="none"/>
          <w:lang w:val="en-US" w:eastAsia="zh-CN" w:bidi="ar-SA"/>
        </w:rPr>
        <w:t>创业资源对接服务季活动情况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填报单位：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5546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54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数量（单位）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54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服务对象人数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54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其中：高校毕业生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54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毕业当年在校生和离校2年内毕业生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300"/>
              <w:jc w:val="righ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54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返乡青年农民工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54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返乡创业人员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54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港澳青年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54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其他青年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54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新入驻创业载体的创业项目个数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    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54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新发放创业担保贷款笔数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    （笔）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54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其中：个人创业担保贷款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300"/>
              <w:jc w:val="righ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（笔）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54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    小微企业创业担保贷款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    （笔）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54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其他融资对接达成意向金额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54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发放一次性创业资助金额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554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组织创业培训班次数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554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创业培训人次数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（人次）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554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参与活动的创业导师人数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554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组织创业导师开展创业指导场次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（场次）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554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组织创业企业招聘会场次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（场次）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9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554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帮助创业企业招聘人数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（万人）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注：以上数据均为活动期间汇总数据。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D1"/>
    <w:rsid w:val="00C3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hint="eastAsia"/>
      <w:sz w:val="32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2023-09-19T08:58:00Z</dcterms:created>
  <dc:creator>Administrator</dc:creator>
  <cp:lastModifiedBy>Administrator</cp:lastModifiedBy>
  <dcterms:modified xsi:type="dcterms:W3CDTF">2023-09-19T08:58:37Z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42F0C5BE09A84AF0B03D7AD3AD77D66E</vt:lpwstr>
  </property>
</Properties>
</file>