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河源市推动基础教育“百校千师万生”高质量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发展行动方案（2023—2027年）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为深入贯彻党中央关于建设高质量教育体系的决策部署，全面落实省委、省政府和市委、市政府实施“百县千镇万村高质量发展工程”的部署要求，认真贯彻落实《广东省推动基础教育高质量发展行动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》《广东省“百县千镇万村高质量发展工程”教育行动方案（2023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2027年）》《河源市推动基础教育高质量发展行动方案》等文件要求，推动基础教育优质均衡发展和城乡一体化，补齐乡村教育短板，全面提高县域教育发展水平，为高质量发展筑牢教育根基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结合我市实际，特制定本行动方案。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到2025年，统筹城乡的教育资源配置机制初步建立，城乡教育差距不断缩小，均等化水平不断提高，优质均衡的基本教育公共服务体系初步形成。各县（区）至少建立1个目标明确、权责清晰、有效运行的城乡教育共同体，充分发挥城乡教育共同体辐射带动作用，推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县域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基础教育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办学条件全面改善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教育教学质量提高，教师队伍素质全面提升，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学生素质能力不断增强，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学前教育普及普惠县及义务教育优质均衡县实现零</w:t>
      </w:r>
      <w:r>
        <w:rPr>
          <w:rFonts w:hint="eastAsia" w:cs="Times New Roman"/>
          <w:sz w:val="32"/>
          <w:szCs w:val="32"/>
          <w:u w:val="none"/>
          <w:lang w:eastAsia="zh-CN"/>
        </w:rPr>
        <w:t>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突破。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东源县至少建立5个城乡教育共同体，成功创建广东省基础教育高质量发展实验区。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2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到2027年，全市城乡融合发展体制机制建立健全，城乡教育一体化发展，乡村学校教育教学富有特色且提质增能，优质均衡的基本教育公共服务体系基本建立。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普遍建立一批城乡教育共同体，力争40%以上的县（区）达到国家学前教育普及普惠督导评估标准，50%以上的县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达到国家义务教育优质均衡督导评估标准，培育一批特色优质高中，普通高中整体办学水平提升，创建一批融合教育示范区、示范校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融合教育质量全面提高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县域教育整体质量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明显增强，群众满意度显著提高。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u w:val="none"/>
          <w:lang w:val="en-US" w:eastAsia="zh-CN"/>
        </w:rPr>
        <w:t>实施百所优质特色学校建设工程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按照“城乡一体、分类推进、示范先行、打造特色”的思路，打造百所优质特色学校，有效示范带动县域教育质量提升。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2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1.实施城乡教育资源优化配置工程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优化城乡学校布局结构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。充分考虑城市化发展和乡村振兴战略，及计划生育三孩政策所带来的生源影响，根据常住人口数量和人口变化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趋势，以县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为单位制定城乡学校布局优化实施方案。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加快改扩建寄宿制学校建设，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稳妥推进小规模学校撤并整合工作，因地制宜推进以乡镇为中心适度集中办学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。2025年，每个乡镇（不含街道）至少建有1所公办寄宿制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学校，每个乡镇建有1所以上规范化公办中心幼儿园，每个乡镇建成小学和初中特殊教育资源中心至少1个，全面消除普通中小学校大班额、大校额。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实施乡镇“三所学校”质量提升工程，着力办好办强乡镇“三所学校”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实施乡镇中心幼儿园、中心小学和公办寄宿制学校(以下称“三所学校”)质量提升工程，集中力量向“三所学校”增加资源投入，补齐短板，按标准补足配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齐教育教学设施设备，提高信息化建设应用水平。强化“三所学校”人员保障，加强“三所学校”校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园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长、优秀教师培养、培育、培训，配齐配强“三所学校”校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园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长、学科教师队伍。进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步改革创新，探索给予“三所学校”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定的办学自主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权，鼓励支持学校在遵循学科教学基本要求的基础上，探索开展课程教学、教育评价等改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highlight w:val="none"/>
          <w:u w:val="none"/>
        </w:rPr>
        <w:t>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2025年，打造一批乡镇“三所学校”示范校，办学条件全面改善，教育质量基本达到县域内城区优质学校水平。打造一批乡村温馨校园，为乡村孩子创设环境优美、安全舒适、快乐和谐的就学条件。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推进多种集团化办学模式。以区域内一所优质品牌学校或者优质教育资源为龙头，跨区域跨学段组建形式多样的教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育集团，支持将乡村学校、薄弱学校、安置点学校等纳入教育集团管理，制定共同的教育发展愿景与目标，实现区域内优质教育资源共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建共享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发挥县城优质教育资源引领、辐射作用，到2025年，东源县至少建立5个城乡教育共同体，成功创建广东省基础教育高质量发展实验区，其他县（区）至少建立1个目标明确、权责清晰、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有效运行的城乡教育共同体并发挥辐射带动作用，帮助乡镇学校提升办学质量，实现区域内优质教育资源共建共享。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2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实施县中发展提升行动计划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实施改善县中办学条件工程，落实普通高中招生市级统筹、县级属地管理，推动县域普通高中与深圳市对口帮扶区托管办学，加强县中教师队伍建设，全面提升县中办学质量，助推县域义务教育优质均衡发展。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5.实施学校办学内涵发展工程。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激发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学校办学活力。坚持党对学校工作的全面领导，大力推进“放管服”改革，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</w:rPr>
        <w:t>实行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</w:rPr>
        <w:t>一校多区、一园多点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</w:rPr>
        <w:t>一体化管理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</w:rPr>
        <w:t>完善学校管理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、法人治理、集体决策和各项规章管理制度，做好学校公用经费使用管理，提升学校依法自主办学的能力。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深化课程教学改革。指导乡村学校开发特色校本课程，鼓励乡村学校探索小班化教学。丰富体育、美育、劳动教育等内容和形式，与家庭教育、校外教育相衔接，提高育人质量。建立和完善以校为本的特色学校发展和管理模式，加强组织管理与保障机制，优化特色课程建设，在全市打造一批党建、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育、心理健康、校园安全、绿美校园、体育、科技和艺术等特色发展学校，以点带面辐射引领区域内学校教育改革取得新突破。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2025年，50%的乡镇至少有1所特色学校。三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推进数字化赋能教育。加强基础设施能力建设，持续推进信息技术与教育教学融合创新发展，加强校地结对，开展多类型、广覆盖的教育帮扶实践。实施“互联网+教研”，开展网络名师工作室、线上线下混合教研、虚拟教研、智能研修等教师研修模式，提升教师数字化教学能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在全市打造一批“数字化赋能教育”特色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（二）实施千名骨干教师培养计划。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聚焦骨干教师培养和教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师管理制度改革，统筹推进“新强师工程”，提升校长、教师、教研员的能力和素质。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1.实施名教师培育计划。加强市、县（区）教师发展中心内涵建设，大力推动教研基地、校本研修示范校、“三名”工作室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（名校长、名班主任、名教师）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协同发展。推进全口径全方位融入式帮扶，健全完善支援方和受援方互派交流机制。加大对全科教师、音美体等学科教师培养培训力度，在省级培训名额分配中向乡村教师倾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斜。以“强师资、提质量、创特色”为目标，每年择优遴选200名有经验教师、200名骨干教师和教研员分别纳入“教学能手”和“金牌名师”培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养计划，预期培育期限为5年，各累计培育1000名教师，培育期满评选出一批“教学能手”和“金牌名师”。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2.实施优秀管理干部培养计划。组织实施“三项”计划（即起航计划、远航计划和领航计划）分层分类对学校领导班子和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管理干部开展业务能力培养，每年择优遴选200名学校中层管理干部、150名学校党委副职领导和副校（园）长、50名学校党政主要负责人纳入培养计划，预期培育期限为5年，分别累计培育1000名中层干部、750名副校（园）长、250名校（园）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实施城乡教师管理制度改革计划。建立城乡教研工作联盟和教研员乡村学校、薄弱学校蹲点联系制度，实行县级教研室包保责任制度。深化教师职称和考核评价制度改革，中高级教师岗位比例适当向农村学校倾斜。深入推进中小学教师“县管校聘”管理改革，城镇学校、优质学校每年教师交流轮岗的比例不低于符合条件教师总数的10%，其中骨干教师交流轮岗不低于交流总数的20%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2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（三）实施万名学生成长成才培育行动。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立足学生身心健康发展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全面提升人才培养质量和水平。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2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实施青少年铸魂育人行动。深入实施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《河源市实施青少年铸魂育人工程行动方案》，加强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完善未成年人思想道德工作机制，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强化“家校社”合力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，全面构建“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育人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局面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广泛开展“新时代好少年”学习宣传活动，在全市范围内推出若干名事迹突出的青少年典型，全市学校选树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万名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身边的好榜样，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导广大未成年人见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思齐，努力成长为担当民族复兴大任的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时代新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2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施特殊群体教育关爱行动。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健全部门联合工作机制，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对全市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特殊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群体学生（含留守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童、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学困少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年儿童、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殊少年儿童等）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开展精准个性化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关爱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帮扶工作。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落实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以居住证为主要依据的随迁子女入学政策。健全留守儿童关爱教育服务体系，关注留守儿童心理健康。建立学困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生成长档案，健全个性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机制，保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生按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时完成学业。各县（区）要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成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1所以上标准化特殊教育学校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，推进特殊教育资源中心建设。健全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完善学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生资助政策资助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机制和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控辍保学常态监测机制。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2" w:firstLineChars="200"/>
        <w:contextualSpacing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实施青少年体艺特长培养行动。聚焦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“双减”校内减负工作提质增效，优化开展课后服务活动，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积极开发多样适宜的活动课程，帮助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学生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熟练掌握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项运动技能，掌握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少1项艺术特长，培养数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名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具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有良好体艺素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养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的青少年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鼓励采取自主招生、择优录取的方式，为我市特色体艺高中学校推送“种子选手”。结合校地实际，研究并制定体艺特长生培养方案，不断深化教学改革，完善评价监督机制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（一）强化组织领导。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各县（区）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要提高政治站位，大力推动基础教育高质量发展，按照本《方案》工作要求，制定本区域、本部门和本学校推进我市基础教育高质量发展的实施方案，明确具体工作目标、任务和措施，及时部署有关工作，加强调度研判并抓好贯彻落实。同时，要结合实际情况，细化具体项目安排、任务分工，挂图作战、限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（二）强化资金保障。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各县（区）要切实履行基础教育办学的主体责任，落实一般公共预算教育经费“两个只增不减”要求，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拓宽资金筹措渠道，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本级政府资金投入力度，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重点用于支持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三所学校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建设、城乡教育共同体培育、课程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/>
        </w:rPr>
        <w:t>教学及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教研建设，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切实保障项目建设经费需求。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（三）强化工作评价。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建立以推动基础教育高质量发展为目标的工作评价制度，立足实际适当调整项目建设安排，及时进行考核评价并给予适当鼓励，充分激发各单位工作积极性。对履职不到位、项目建设推进滞后、问题整改不及时不到位的部门或学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的党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政正职和分管领导进行追责问责。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（四）强化宣传引导。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利用报纸、广播、电视及新媒体等多种渠道和方式，全方位、多维度立体宣传报道基础教育高质量发展具体措施及取得成效，及时回应社会关切，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树立正确的教育观念，营造良好氛围。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eastAsia"/>
          <w:u w:val="none"/>
        </w:rPr>
      </w:pPr>
      <w:r>
        <w:rPr>
          <w:rFonts w:hint="eastAsia" w:eastAsia="黑体"/>
          <w:u w:val="none"/>
        </w:rPr>
        <w:t>公开方式：</w:t>
      </w:r>
      <w:r>
        <w:rPr>
          <w:rFonts w:hint="eastAsia"/>
          <w:u w:val="none"/>
        </w:rPr>
        <w:t>主动公开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264" w:leftChars="100" w:hanging="948" w:hangingChars="300"/>
        <w:textAlignment w:val="auto"/>
        <w:rPr>
          <w:rFonts w:hint="eastAsia" w:ascii="仿宋_GB231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264" w:leftChars="100" w:hanging="948" w:hangingChars="300"/>
        <w:textAlignment w:val="auto"/>
        <w:rPr>
          <w:rFonts w:hint="eastAsia"/>
        </w:rPr>
      </w:pPr>
    </w:p>
    <w:sectPr>
      <w:footerReference r:id="rId4" w:type="first"/>
      <w:footerReference r:id="rId3" w:type="default"/>
      <w:pgSz w:w="11906" w:h="16838"/>
      <w:pgMar w:top="1531" w:right="1531" w:bottom="2098" w:left="1531" w:header="851" w:footer="992" w:gutter="0"/>
      <w:pgNumType w:start="2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</w:p>
  <w:p>
    <w:pPr>
      <w:pStyle w:val="8"/>
      <w:framePr w:wrap="around" w:vAnchor="text" w:hAnchor="margin" w:y="1"/>
      <w:ind w:right="360"/>
      <w:rPr>
        <w:rStyle w:val="14"/>
        <w:rFonts w:hint="eastAsia"/>
      </w:rPr>
    </w:pPr>
  </w:p>
  <w:p>
    <w:pPr>
      <w:pStyle w:val="8"/>
      <w:framePr w:wrap="around" w:vAnchor="text" w:hAnchor="margin" w:xAlign="outside" w:y="1"/>
      <w:ind w:right="360"/>
      <w:rPr>
        <w:rStyle w:val="14"/>
        <w:rFonts w:hint="eastAsia"/>
        <w:sz w:val="28"/>
      </w:rPr>
    </w:pPr>
    <w:r>
      <w:rPr>
        <w:rStyle w:val="14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4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rFonts w:hint="eastAsia"/>
        <w:sz w:val="28"/>
      </w:rPr>
      <w:t xml:space="preserve"> —</w:t>
    </w:r>
  </w:p>
  <w:p>
    <w:pPr>
      <w:pStyle w:val="8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-67310</wp:posOffset>
              </wp:positionH>
              <wp:positionV relativeFrom="paragraph">
                <wp:posOffset>-61595</wp:posOffset>
              </wp:positionV>
              <wp:extent cx="638810" cy="2851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81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.3pt;margin-top:-4.85pt;height:22.45pt;width:50.3pt;mso-position-horizontal-relative:margin;z-index:251659264;mso-width-relative:page;mso-height-relative:page;" filled="f" stroked="f" coordsize="21600,21600" o:gfxdata="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FKn1dcA&#10;AAAIAQAADwAAAAAAAAABACAAAAAiAAAAZHJzL2Rvd25yZXYueG1sUEsBAhQAFAAAAAgAh07iQKBt&#10;eTDnAQAAzAMAAA4AAAAAAAAAAQAgAAAAJ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C3C19"/>
    <w:rsid w:val="004C6721"/>
    <w:rsid w:val="006570AA"/>
    <w:rsid w:val="00692DE6"/>
    <w:rsid w:val="0075294E"/>
    <w:rsid w:val="00806F0C"/>
    <w:rsid w:val="009B0380"/>
    <w:rsid w:val="00B53BE9"/>
    <w:rsid w:val="00B769F4"/>
    <w:rsid w:val="00C90BF7"/>
    <w:rsid w:val="00CF4301"/>
    <w:rsid w:val="00D657ED"/>
    <w:rsid w:val="00DB7CDD"/>
    <w:rsid w:val="02974E14"/>
    <w:rsid w:val="0DCA54B7"/>
    <w:rsid w:val="156C3C19"/>
    <w:rsid w:val="1699715B"/>
    <w:rsid w:val="16D60185"/>
    <w:rsid w:val="16DE6C28"/>
    <w:rsid w:val="1A0175F5"/>
    <w:rsid w:val="2441712C"/>
    <w:rsid w:val="28944D58"/>
    <w:rsid w:val="2EC21722"/>
    <w:rsid w:val="33A92F9F"/>
    <w:rsid w:val="3ADC7D7E"/>
    <w:rsid w:val="3B1F43F2"/>
    <w:rsid w:val="3DFD1A1C"/>
    <w:rsid w:val="430B4BD0"/>
    <w:rsid w:val="45414112"/>
    <w:rsid w:val="4A1717C6"/>
    <w:rsid w:val="4D275E6B"/>
    <w:rsid w:val="4F1951F1"/>
    <w:rsid w:val="50F45D0F"/>
    <w:rsid w:val="51900452"/>
    <w:rsid w:val="555C0F89"/>
    <w:rsid w:val="56D45066"/>
    <w:rsid w:val="5A19017A"/>
    <w:rsid w:val="6BA21246"/>
    <w:rsid w:val="6CC13D99"/>
    <w:rsid w:val="6DF20FF2"/>
    <w:rsid w:val="6F5F7C19"/>
    <w:rsid w:val="704F66A9"/>
    <w:rsid w:val="73C35E68"/>
    <w:rsid w:val="7980697A"/>
    <w:rsid w:val="7E636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tabs>
        <w:tab w:val="left" w:pos="0"/>
      </w:tabs>
      <w:spacing w:before="100" w:after="100"/>
      <w:outlineLvl w:val="2"/>
    </w:p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4"/>
      <w:lang w:bidi="ar-SA"/>
    </w:rPr>
  </w:style>
  <w:style w:type="paragraph" w:styleId="5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z w:val="24"/>
      <w:szCs w:val="32"/>
      <w:lang w:bidi="ar-SA"/>
    </w:rPr>
  </w:style>
  <w:style w:type="paragraph" w:styleId="6">
    <w:name w:val="Body Text Indent"/>
    <w:basedOn w:val="1"/>
    <w:qFormat/>
    <w:uiPriority w:val="0"/>
    <w:pPr>
      <w:spacing w:line="500" w:lineRule="exact"/>
      <w:ind w:left="1102" w:leftChars="349" w:firstLine="1"/>
    </w:p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7827;&#24220;&#2115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河府办函.dot</Template>
  <Company>河源市府办公室</Company>
  <Pages>1</Pages>
  <Words>109</Words>
  <Characters>115</Characters>
  <Lines>1</Lines>
  <Paragraphs>1</Paragraphs>
  <TotalTime>15</TotalTime>
  <ScaleCrop>false</ScaleCrop>
  <LinksUpToDate>false</LinksUpToDate>
  <CharactersWithSpaces>140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2023-01-10T02:43:00Z</dcterms:created>
  <dc:creator>市府办公室电脑室</dc:creator>
  <cp:lastModifiedBy>黄中慈</cp:lastModifiedBy>
  <cp:lastPrinted>2023-09-13T01:57:00Z</cp:lastPrinted>
  <dcterms:modified xsi:type="dcterms:W3CDTF">2023-09-19T01:55:30Z</dcterms:modified>
  <dc:title>河府办函[2004]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F8570671DCEC4BA39A775887E3F88C40</vt:lpwstr>
  </property>
</Properties>
</file>