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ascii="黑体" w:hAnsi="黑体" w:eastAsia="黑体" w:cs="黑体"/>
          <w:color w:val="auto"/>
          <w:spacing w:val="10"/>
          <w:sz w:val="43"/>
          <w:szCs w:val="43"/>
        </w:rPr>
      </w:pPr>
      <w:r>
        <w:rPr>
          <w:rFonts w:hint="eastAsia" w:ascii="黑体" w:hAnsi="黑体" w:eastAsia="黑体" w:cs="黑体"/>
          <w:color w:val="auto"/>
          <w:spacing w:val="10"/>
          <w:sz w:val="43"/>
          <w:szCs w:val="43"/>
        </w:rPr>
        <w:t>河源市区征收土地青苗和地上附着物补偿标准</w:t>
      </w:r>
    </w:p>
    <w:p>
      <w:pPr>
        <w:spacing w:beforeLines="50" w:afterLines="100"/>
        <w:jc w:val="center"/>
        <w:rPr>
          <w:rFonts w:ascii="黑体" w:hAnsi="黑体" w:eastAsia="黑体" w:cs="黑体"/>
          <w:color w:val="auto"/>
          <w:sz w:val="40"/>
          <w:szCs w:val="43"/>
        </w:rPr>
      </w:pPr>
    </w:p>
    <w:p>
      <w:pPr>
        <w:spacing w:line="360" w:lineRule="auto"/>
        <w:ind w:left="57" w:firstLine="560"/>
        <w:jc w:val="both"/>
        <w:rPr>
          <w:rFonts w:ascii="仿宋" w:hAnsi="仿宋" w:eastAsia="仿宋" w:cs="仿宋"/>
          <w:color w:val="auto"/>
          <w:spacing w:val="-2"/>
          <w:sz w:val="28"/>
          <w:szCs w:val="28"/>
        </w:rPr>
      </w:pPr>
      <w:r>
        <w:rPr>
          <w:rFonts w:ascii="仿宋" w:hAnsi="仿宋" w:eastAsia="仿宋" w:cs="仿宋"/>
          <w:color w:val="auto"/>
          <w:spacing w:val="-2"/>
          <w:sz w:val="28"/>
          <w:szCs w:val="28"/>
        </w:rPr>
        <w:t>为了进一步规范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河源</w:t>
      </w:r>
      <w:r>
        <w:rPr>
          <w:rFonts w:ascii="仿宋" w:hAnsi="仿宋" w:eastAsia="仿宋" w:cs="仿宋"/>
          <w:color w:val="auto"/>
          <w:spacing w:val="-2"/>
          <w:sz w:val="28"/>
          <w:szCs w:val="28"/>
        </w:rPr>
        <w:t>市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区</w:t>
      </w:r>
      <w:r>
        <w:rPr>
          <w:rFonts w:ascii="仿宋" w:hAnsi="仿宋" w:eastAsia="仿宋" w:cs="仿宋"/>
          <w:color w:val="auto"/>
          <w:spacing w:val="-2"/>
          <w:sz w:val="28"/>
          <w:szCs w:val="28"/>
        </w:rPr>
        <w:t>征收土地青苗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和</w:t>
      </w:r>
      <w:r>
        <w:rPr>
          <w:rFonts w:ascii="仿宋" w:hAnsi="仿宋" w:eastAsia="仿宋" w:cs="仿宋"/>
          <w:color w:val="auto"/>
          <w:spacing w:val="-2"/>
          <w:sz w:val="28"/>
          <w:szCs w:val="28"/>
        </w:rPr>
        <w:t>地上附着物补偿标准，维护被征地农村集体经济组织、农民及其他权利人的合法权益，促进社会经济和谐发展，根据《中华人民共和国土地管理法》《中华人民共和国土地管理法实施条例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  <w:lang w:eastAsia="zh-CN"/>
        </w:rPr>
        <w:t>》《</w:t>
      </w:r>
      <w:r>
        <w:rPr>
          <w:rFonts w:ascii="仿宋" w:hAnsi="仿宋" w:eastAsia="仿宋" w:cs="仿宋"/>
          <w:color w:val="auto"/>
          <w:spacing w:val="-2"/>
          <w:sz w:val="28"/>
          <w:szCs w:val="28"/>
        </w:rPr>
        <w:t>广东省土地管理条例》等有关法律、法规，结合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河源</w:t>
      </w:r>
      <w:r>
        <w:rPr>
          <w:rFonts w:ascii="仿宋" w:hAnsi="仿宋" w:eastAsia="仿宋" w:cs="仿宋"/>
          <w:color w:val="auto"/>
          <w:spacing w:val="-2"/>
          <w:sz w:val="28"/>
          <w:szCs w:val="28"/>
        </w:rPr>
        <w:t>市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区</w:t>
      </w:r>
      <w:r>
        <w:rPr>
          <w:rFonts w:ascii="仿宋" w:hAnsi="仿宋" w:eastAsia="仿宋" w:cs="仿宋"/>
          <w:color w:val="auto"/>
          <w:spacing w:val="-2"/>
          <w:sz w:val="28"/>
          <w:szCs w:val="28"/>
        </w:rPr>
        <w:t>实际制定本标准。</w:t>
      </w:r>
    </w:p>
    <w:p>
      <w:pPr>
        <w:spacing w:beforeLines="100" w:line="360" w:lineRule="auto"/>
        <w:ind w:left="57" w:firstLine="561"/>
        <w:outlineLvl w:val="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-2"/>
          <w:sz w:val="28"/>
          <w:szCs w:val="28"/>
        </w:rPr>
        <w:t>一</w:t>
      </w:r>
      <w:r>
        <w:rPr>
          <w:rFonts w:ascii="仿宋" w:hAnsi="仿宋" w:eastAsia="仿宋" w:cs="仿宋"/>
          <w:b/>
          <w:color w:val="auto"/>
          <w:spacing w:val="-2"/>
          <w:sz w:val="28"/>
          <w:szCs w:val="28"/>
        </w:rPr>
        <w:t>、青苗</w:t>
      </w:r>
      <w:r>
        <w:rPr>
          <w:rFonts w:ascii="仿宋" w:hAnsi="仿宋" w:eastAsia="仿宋" w:cs="仿宋"/>
          <w:b/>
          <w:color w:val="auto"/>
          <w:spacing w:val="-1"/>
          <w:sz w:val="28"/>
          <w:szCs w:val="28"/>
        </w:rPr>
        <w:t>补偿标准</w:t>
      </w:r>
    </w:p>
    <w:p>
      <w:pPr>
        <w:spacing w:line="360" w:lineRule="auto"/>
        <w:ind w:left="588"/>
        <w:outlineLvl w:val="1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32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b/>
          <w:color w:val="auto"/>
          <w:spacing w:val="31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color w:val="auto"/>
          <w:spacing w:val="31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31"/>
          <w:sz w:val="28"/>
          <w:szCs w:val="28"/>
        </w:rPr>
        <w:t>一般农作物</w:t>
      </w:r>
      <w:r>
        <w:rPr>
          <w:rFonts w:ascii="仿宋" w:hAnsi="仿宋" w:eastAsia="仿宋" w:cs="仿宋"/>
          <w:b/>
          <w:color w:val="auto"/>
          <w:spacing w:val="31"/>
          <w:sz w:val="28"/>
          <w:szCs w:val="28"/>
        </w:rPr>
        <w:t>补偿</w:t>
      </w:r>
    </w:p>
    <w:p>
      <w:pPr>
        <w:spacing w:line="360" w:lineRule="auto"/>
        <w:ind w:left="48" w:firstLine="572"/>
        <w:rPr>
          <w:rFonts w:ascii="仿宋" w:hAnsi="仿宋" w:eastAsia="仿宋" w:cs="仿宋"/>
          <w:b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分谷类作物、叶菜类作物、茄瓜类作物、豆类作物、根茎类作物，按亩进行补偿。</w:t>
      </w:r>
      <w:r>
        <w:rPr>
          <w:rFonts w:ascii="仿宋" w:hAnsi="仿宋" w:eastAsia="仿宋" w:cs="仿宋"/>
          <w:color w:val="auto"/>
          <w:spacing w:val="-8"/>
          <w:sz w:val="28"/>
          <w:szCs w:val="28"/>
        </w:rPr>
        <w:t>具体标准见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下表：</w:t>
      </w:r>
    </w:p>
    <w:p>
      <w:pPr>
        <w:spacing w:afterLines="50"/>
        <w:ind w:left="40" w:firstLine="550"/>
        <w:jc w:val="center"/>
        <w:rPr>
          <w:rFonts w:ascii="仿宋" w:hAnsi="仿宋" w:eastAsia="仿宋" w:cs="仿宋"/>
          <w:b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</w:rPr>
        <w:t>表1：一般农作物补偿标准表</w:t>
      </w:r>
    </w:p>
    <w:tbl>
      <w:tblPr>
        <w:tblStyle w:val="8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157"/>
        <w:gridCol w:w="3618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</w:rPr>
              <w:t>序号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</w:rPr>
              <w:t>作物类型</w:t>
            </w:r>
          </w:p>
        </w:tc>
        <w:tc>
          <w:tcPr>
            <w:tcW w:w="3618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</w:rPr>
              <w:t>种植产品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</w:rPr>
              <w:t>补偿标准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</w:rPr>
              <w:t>（元/亩）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谷类作物</w:t>
            </w:r>
          </w:p>
        </w:tc>
        <w:tc>
          <w:tcPr>
            <w:tcW w:w="3618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稻谷、玉米等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叶菜类作物</w:t>
            </w:r>
          </w:p>
        </w:tc>
        <w:tc>
          <w:tcPr>
            <w:tcW w:w="3618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空心菜、大白菜、苋菜、葱、蒜、芥菜、菜心、韭菜、芹菜、枸杞等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茄瓜类作物</w:t>
            </w:r>
          </w:p>
        </w:tc>
        <w:tc>
          <w:tcPr>
            <w:tcW w:w="3618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西红柿、茄子、辣椒、丝瓜、苦瓜、冬瓜、南瓜、青瓜、节瓜、葫芦瓜等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豆类作物</w:t>
            </w:r>
          </w:p>
        </w:tc>
        <w:tc>
          <w:tcPr>
            <w:tcW w:w="3618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豌豆、四季豆、扁豆、青豆、花生、黄豆、黑豆、绿豆、红豆、芝麻等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  <w:t>5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根茎类作物</w:t>
            </w:r>
          </w:p>
        </w:tc>
        <w:tc>
          <w:tcPr>
            <w:tcW w:w="3618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番薯、沙葛、莲藕、萝卜、淮山、芋头、马铃薯、姜、马蹄等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snapToGrid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napToGrid/>
                <w:color w:val="auto"/>
                <w:sz w:val="24"/>
              </w:rPr>
              <w:t>说明</w:t>
            </w:r>
          </w:p>
        </w:tc>
        <w:tc>
          <w:tcPr>
            <w:tcW w:w="8132" w:type="dxa"/>
            <w:gridSpan w:val="3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混种地块以一种主作物（地块内占比最多的作物）作为补偿标准，地块内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lang w:eastAsia="zh-CN"/>
              </w:rPr>
              <w:t>其他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种类青苗不再补偿；</w:t>
            </w:r>
          </w:p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对于此标准未覆盖的品种，补偿标准可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lang w:eastAsia="zh-CN"/>
              </w:rPr>
              <w:t>参照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相近品种的标准；个别特殊作物或种植方式（如大棚种植、智能化种植等）应根据具体情况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lang w:eastAsia="zh-CN"/>
              </w:rPr>
              <w:t>由有资质的机构进行评估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</w:rPr>
              <w:t>。</w:t>
            </w:r>
          </w:p>
        </w:tc>
      </w:tr>
    </w:tbl>
    <w:p>
      <w:pPr>
        <w:spacing w:line="360" w:lineRule="auto"/>
        <w:ind w:left="588"/>
        <w:rPr>
          <w:rFonts w:ascii="仿宋" w:hAnsi="仿宋" w:eastAsia="仿宋" w:cs="仿宋"/>
          <w:color w:val="auto"/>
          <w:spacing w:val="26"/>
          <w:sz w:val="28"/>
          <w:szCs w:val="28"/>
        </w:rPr>
      </w:pPr>
    </w:p>
    <w:p>
      <w:pPr>
        <w:spacing w:line="360" w:lineRule="auto"/>
        <w:ind w:left="588"/>
        <w:outlineLvl w:val="1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2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b/>
          <w:color w:val="auto"/>
          <w:spacing w:val="17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color w:val="auto"/>
          <w:spacing w:val="17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/>
          <w:color w:val="auto"/>
          <w:spacing w:val="17"/>
          <w:sz w:val="28"/>
          <w:szCs w:val="28"/>
        </w:rPr>
        <w:t>果树木补偿标准</w:t>
      </w:r>
    </w:p>
    <w:p>
      <w:pPr>
        <w:spacing w:line="360" w:lineRule="auto"/>
        <w:ind w:left="32" w:right="12" w:firstLine="560"/>
        <w:jc w:val="both"/>
        <w:rPr>
          <w:rFonts w:ascii="仿宋" w:hAnsi="仿宋" w:eastAsia="仿宋" w:cs="仿宋"/>
          <w:color w:val="auto"/>
          <w:spacing w:val="-8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果树木按照清点数量、相应规格和补偿标准计算补偿费，计算的补偿费总额低于每亩最高补偿标准的，按计算的补偿费总额补偿，高于每亩最高补偿标准的，按每亩最高补偿标准补偿。</w:t>
      </w:r>
      <w:r>
        <w:rPr>
          <w:rFonts w:ascii="仿宋" w:hAnsi="仿宋" w:eastAsia="仿宋" w:cs="仿宋"/>
          <w:color w:val="auto"/>
          <w:spacing w:val="-11"/>
          <w:sz w:val="28"/>
          <w:szCs w:val="28"/>
        </w:rPr>
        <w:t>属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成片种植</w:t>
      </w:r>
      <w:r>
        <w:rPr>
          <w:rFonts w:ascii="仿宋" w:hAnsi="仿宋" w:eastAsia="仿宋" w:cs="仿宋"/>
          <w:color w:val="auto"/>
          <w:spacing w:val="-11"/>
          <w:sz w:val="28"/>
          <w:szCs w:val="28"/>
        </w:rPr>
        <w:t>的果树木，按每亩补偿标准计算补偿；</w:t>
      </w:r>
      <w:r>
        <w:rPr>
          <w:rFonts w:ascii="仿宋" w:hAnsi="仿宋" w:eastAsia="仿宋" w:cs="仿宋"/>
          <w:color w:val="auto"/>
          <w:spacing w:val="-1"/>
          <w:sz w:val="28"/>
          <w:szCs w:val="28"/>
        </w:rPr>
        <w:t>属零星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</w:rPr>
        <w:t>种植</w:t>
      </w:r>
      <w:r>
        <w:rPr>
          <w:rFonts w:ascii="仿宋" w:hAnsi="仿宋" w:eastAsia="仿宋" w:cs="仿宋"/>
          <w:color w:val="auto"/>
          <w:spacing w:val="-1"/>
          <w:sz w:val="28"/>
          <w:szCs w:val="28"/>
        </w:rPr>
        <w:t>的果树木，</w:t>
      </w:r>
      <w:r>
        <w:rPr>
          <w:rFonts w:ascii="仿宋" w:hAnsi="仿宋" w:eastAsia="仿宋" w:cs="仿宋"/>
          <w:color w:val="auto"/>
          <w:spacing w:val="-6"/>
          <w:sz w:val="28"/>
          <w:szCs w:val="28"/>
        </w:rPr>
        <w:t>按每棵补偿标准</w:t>
      </w:r>
      <w:r>
        <w:rPr>
          <w:rFonts w:ascii="仿宋" w:hAnsi="仿宋" w:eastAsia="仿宋" w:cs="仿宋"/>
          <w:color w:val="auto"/>
          <w:spacing w:val="-5"/>
          <w:sz w:val="28"/>
          <w:szCs w:val="28"/>
        </w:rPr>
        <w:t>计</w:t>
      </w:r>
      <w:r>
        <w:rPr>
          <w:rFonts w:ascii="仿宋" w:hAnsi="仿宋" w:eastAsia="仿宋" w:cs="仿宋"/>
          <w:color w:val="auto"/>
          <w:spacing w:val="-3"/>
          <w:sz w:val="28"/>
          <w:szCs w:val="28"/>
        </w:rPr>
        <w:t>算补偿；凡超过每亩最高补偿标准的部分或已死亡的各</w:t>
      </w:r>
      <w:r>
        <w:rPr>
          <w:rFonts w:ascii="仿宋" w:hAnsi="仿宋" w:eastAsia="仿宋" w:cs="仿宋"/>
          <w:color w:val="auto"/>
          <w:spacing w:val="1"/>
          <w:sz w:val="28"/>
          <w:szCs w:val="28"/>
        </w:rPr>
        <w:t>类种植物不予补偿；</w:t>
      </w:r>
      <w:r>
        <w:rPr>
          <w:rFonts w:hint="eastAsia" w:ascii="仿宋" w:hAnsi="仿宋" w:eastAsia="仿宋" w:cs="仿宋"/>
          <w:color w:val="auto"/>
          <w:spacing w:val="1"/>
          <w:sz w:val="28"/>
          <w:szCs w:val="28"/>
        </w:rPr>
        <w:t>混种地块</w:t>
      </w:r>
      <w:r>
        <w:rPr>
          <w:rFonts w:ascii="仿宋" w:hAnsi="仿宋" w:eastAsia="仿宋" w:cs="仿宋"/>
          <w:color w:val="auto"/>
          <w:sz w:val="28"/>
          <w:szCs w:val="28"/>
        </w:rPr>
        <w:t>，一般以种植最多</w:t>
      </w:r>
      <w:r>
        <w:rPr>
          <w:rFonts w:ascii="仿宋" w:hAnsi="仿宋" w:eastAsia="仿宋" w:cs="仿宋"/>
          <w:color w:val="auto"/>
          <w:spacing w:val="-8"/>
          <w:sz w:val="28"/>
          <w:szCs w:val="28"/>
        </w:rPr>
        <w:t>的青苗作为补偿的品种，不以品种分类作重复计补；被征收土地上的果</w:t>
      </w:r>
      <w:r>
        <w:rPr>
          <w:rFonts w:ascii="仿宋" w:hAnsi="仿宋" w:eastAsia="仿宋" w:cs="仿宋"/>
          <w:color w:val="auto"/>
          <w:spacing w:val="-3"/>
          <w:sz w:val="28"/>
          <w:szCs w:val="28"/>
        </w:rPr>
        <w:t>树</w:t>
      </w:r>
      <w:r>
        <w:rPr>
          <w:rFonts w:ascii="仿宋" w:hAnsi="仿宋" w:eastAsia="仿宋" w:cs="仿宋"/>
          <w:color w:val="auto"/>
          <w:spacing w:val="-10"/>
          <w:sz w:val="28"/>
          <w:szCs w:val="28"/>
        </w:rPr>
        <w:t>等在规定期限种植人自行砍伐、搬迁的，果树等材料归物主所有；</w:t>
      </w:r>
      <w:r>
        <w:rPr>
          <w:rFonts w:ascii="仿宋" w:hAnsi="仿宋" w:eastAsia="仿宋" w:cs="仿宋"/>
          <w:color w:val="auto"/>
          <w:spacing w:val="-12"/>
          <w:sz w:val="28"/>
          <w:szCs w:val="28"/>
        </w:rPr>
        <w:t>逾</w:t>
      </w:r>
      <w:r>
        <w:rPr>
          <w:rFonts w:ascii="仿宋" w:hAnsi="仿宋" w:eastAsia="仿宋" w:cs="仿宋"/>
          <w:color w:val="auto"/>
          <w:spacing w:val="-8"/>
          <w:sz w:val="28"/>
          <w:szCs w:val="28"/>
        </w:rPr>
        <w:t>期的，由征地单位按规定处理。具体标准见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下表：</w:t>
      </w:r>
    </w:p>
    <w:p>
      <w:pPr>
        <w:spacing w:afterLines="50"/>
        <w:ind w:left="40" w:firstLine="550"/>
        <w:jc w:val="center"/>
        <w:rPr>
          <w:rFonts w:ascii="仿宋" w:hAnsi="仿宋" w:eastAsia="仿宋" w:cs="仿宋"/>
          <w:b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</w:rPr>
        <w:t>表2：果树木补偿标准表</w:t>
      </w:r>
    </w:p>
    <w:tbl>
      <w:tblPr>
        <w:tblStyle w:val="8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47"/>
        <w:gridCol w:w="3788"/>
        <w:gridCol w:w="1125"/>
        <w:gridCol w:w="1160"/>
        <w:gridCol w:w="123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6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3788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零星种植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成片种植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35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补偿标准（元∕棵）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种植密度（棵/亩）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最高补偿标准（元/亩）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荔枝、龙眼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特大棵（挂果，胸径超过30cm）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1580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大棵（挂果，胸径20-30cm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1160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中棵（挂果，胸径10-20cm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740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小棵（挂果，胸径小于10cm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320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80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幼苗（未挂果）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85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黄皮、沙梨、枇杷、柿子、橄榄、番石榴、栗树、芒果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特大棵（挂果，胸径超过25cm）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大棵（挂果，胸径15-25cm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中棵（挂果，胸径5-15cm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小棵（挂果，胸径小于5cm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幼苗（未挂果）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桃、李、梅、杨桃、枣、柚子、柠檬、杨梅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特大棵（挂果，胸径超过20cm）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大棵（挂果，胸径10-20cm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中棵（挂果，胸径5-10cm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小棵（挂果，胸径小于5cm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幼苗（未挂果）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柑、桔、橙、人参果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特大棵（挂果，树高大于2.0m）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大棵（挂果，树高1.5-2.0m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中棵（挂果，树高1-1.5m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小棵（挂果，树高小1m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幼苗（未挂果）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沙糖桔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已挂果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未挂果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幼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树高0.5m以下，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含0.5m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火龙果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大（挂果，种植5年及以上有水泥架）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210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160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33600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中（挂果，种植4年及以上有水泥架）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170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160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27200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小（挂果，种植2年及以上有水泥架）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85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160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幼（种植不足2年，有水泥架）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160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百香果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大（挂果，种植2年及以上）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中（挂果，种植1年及以上）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小（未挂果，种植1年及以上）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葡萄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大（挂果，种植2年及以上）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中（挂果，种植1年及以上）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小（未挂果，种植1年及以上）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甘蔗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大蕉、香蕉、粉蕉、木瓜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大（挂果，树高大于1.5m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中（未挂果，树高大于1.5m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幼苗（树高小于1.5m）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11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茶树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大棵（冠幅1m以上）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中棵（冠幅0.3-1m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小棵（冠幅0.3m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以下）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幼苗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1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油茶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大（冠幅1.5m以上）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中（冠幅0.5-1.5m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小（冠幅0.5m及以下，挂果）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13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桑葚树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已挂果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未挂果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幼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树高1m以下，含1m)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1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14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蚕桑树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大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胸径4cm及以上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胸径4cm以下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150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6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树高0.5m及以下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15</w:t>
            </w:r>
          </w:p>
        </w:tc>
        <w:tc>
          <w:tcPr>
            <w:tcW w:w="1647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桔杻树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大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胸径6cm及以上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70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胸径6cm以下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80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8960" w:type="dxa"/>
            <w:gridSpan w:val="6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果树木按照清点数量、相应规格和补偿标准计算补偿费，计算的补偿费总额低于每亩最高补偿标准的，按计算的补偿费总额补偿，高于每亩最高补偿标准的，按每亩最高补偿标准补偿；</w:t>
            </w:r>
          </w:p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混种地块按亩补偿的以一种主果树（地块内占比最多的果树）作为补偿标准，地块内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种类果树、乔木类、灌木类不再补偿；</w:t>
            </w:r>
          </w:p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对于此标准未覆盖的品种及规格，补偿标准可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参照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相近品种的标准或根据具体情况由有资质的机构进行评估，但每亩最高补偿棵数不得超过该果树科学种植的合理棵数。名贵品种应根据具体情况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spacing w:line="360" w:lineRule="auto"/>
        <w:ind w:left="32" w:right="12" w:firstLine="560"/>
        <w:jc w:val="both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left="588"/>
        <w:outlineLvl w:val="1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2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b/>
          <w:color w:val="auto"/>
          <w:spacing w:val="17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color w:val="auto"/>
          <w:spacing w:val="17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/>
          <w:color w:val="auto"/>
          <w:spacing w:val="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auto"/>
          <w:spacing w:val="17"/>
          <w:sz w:val="28"/>
          <w:szCs w:val="28"/>
        </w:rPr>
        <w:t>竹木类</w:t>
      </w:r>
      <w:r>
        <w:rPr>
          <w:rFonts w:ascii="仿宋" w:hAnsi="仿宋" w:eastAsia="仿宋" w:cs="仿宋"/>
          <w:b/>
          <w:color w:val="auto"/>
          <w:spacing w:val="17"/>
          <w:sz w:val="28"/>
          <w:szCs w:val="28"/>
        </w:rPr>
        <w:t>补偿标准</w:t>
      </w:r>
    </w:p>
    <w:p>
      <w:pPr>
        <w:spacing w:line="360" w:lineRule="auto"/>
        <w:ind w:left="32" w:right="12" w:firstLine="560"/>
        <w:jc w:val="both"/>
        <w:rPr>
          <w:rFonts w:hint="eastAsia" w:ascii="仿宋" w:hAnsi="仿宋" w:eastAsia="仿宋" w:cs="仿宋"/>
          <w:color w:val="auto"/>
          <w:spacing w:val="-8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对于可移植品种，补偿标准为竹木移植费用。对于不可移植或移植成活率低的品种，补偿标准为竹木补偿价值。每亩种植密度达到成林标准数量的，按亩计价补偿。计算的补偿费总额低于每亩最高补偿标准的，按计算的补偿费总额补偿，高于每亩最高补偿标准的，按每亩最高补偿标准补偿。</w:t>
      </w:r>
      <w:r>
        <w:rPr>
          <w:rFonts w:ascii="仿宋" w:hAnsi="仿宋" w:eastAsia="仿宋" w:cs="仿宋"/>
          <w:color w:val="auto"/>
          <w:spacing w:val="-11"/>
          <w:sz w:val="28"/>
          <w:szCs w:val="28"/>
        </w:rPr>
        <w:t>属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成片种植</w:t>
      </w:r>
      <w:r>
        <w:rPr>
          <w:rFonts w:ascii="仿宋" w:hAnsi="仿宋" w:eastAsia="仿宋" w:cs="仿宋"/>
          <w:color w:val="auto"/>
          <w:spacing w:val="-11"/>
          <w:sz w:val="28"/>
          <w:szCs w:val="28"/>
        </w:rPr>
        <w:t>的，按每亩补偿标准计算补偿；</w:t>
      </w:r>
      <w:r>
        <w:rPr>
          <w:rFonts w:ascii="仿宋" w:hAnsi="仿宋" w:eastAsia="仿宋" w:cs="仿宋"/>
          <w:color w:val="auto"/>
          <w:spacing w:val="-1"/>
          <w:sz w:val="28"/>
          <w:szCs w:val="28"/>
        </w:rPr>
        <w:t>属零星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</w:rPr>
        <w:t>种植</w:t>
      </w:r>
      <w:r>
        <w:rPr>
          <w:rFonts w:ascii="仿宋" w:hAnsi="仿宋" w:eastAsia="仿宋" w:cs="仿宋"/>
          <w:color w:val="auto"/>
          <w:spacing w:val="-1"/>
          <w:sz w:val="28"/>
          <w:szCs w:val="28"/>
        </w:rPr>
        <w:t>的，</w:t>
      </w:r>
      <w:r>
        <w:rPr>
          <w:rFonts w:ascii="仿宋" w:hAnsi="仿宋" w:eastAsia="仿宋" w:cs="仿宋"/>
          <w:color w:val="auto"/>
          <w:spacing w:val="-6"/>
          <w:sz w:val="28"/>
          <w:szCs w:val="28"/>
        </w:rPr>
        <w:t>按每棵补偿标准</w:t>
      </w:r>
      <w:r>
        <w:rPr>
          <w:rFonts w:ascii="仿宋" w:hAnsi="仿宋" w:eastAsia="仿宋" w:cs="仿宋"/>
          <w:color w:val="auto"/>
          <w:spacing w:val="-5"/>
          <w:sz w:val="28"/>
          <w:szCs w:val="28"/>
        </w:rPr>
        <w:t>计</w:t>
      </w:r>
      <w:r>
        <w:rPr>
          <w:rFonts w:ascii="仿宋" w:hAnsi="仿宋" w:eastAsia="仿宋" w:cs="仿宋"/>
          <w:color w:val="auto"/>
          <w:spacing w:val="-3"/>
          <w:sz w:val="28"/>
          <w:szCs w:val="28"/>
        </w:rPr>
        <w:t>算补偿；凡超过每亩最高补偿标准的部分或已死亡的各</w:t>
      </w:r>
      <w:r>
        <w:rPr>
          <w:rFonts w:ascii="仿宋" w:hAnsi="仿宋" w:eastAsia="仿宋" w:cs="仿宋"/>
          <w:color w:val="auto"/>
          <w:spacing w:val="1"/>
          <w:sz w:val="28"/>
          <w:szCs w:val="28"/>
        </w:rPr>
        <w:t>类种植物不予补偿；</w:t>
      </w:r>
      <w:r>
        <w:rPr>
          <w:rFonts w:hint="eastAsia" w:ascii="仿宋" w:hAnsi="仿宋" w:eastAsia="仿宋" w:cs="仿宋"/>
          <w:color w:val="auto"/>
          <w:spacing w:val="1"/>
          <w:sz w:val="28"/>
          <w:szCs w:val="28"/>
        </w:rPr>
        <w:t>混种地块</w:t>
      </w:r>
      <w:r>
        <w:rPr>
          <w:rFonts w:ascii="仿宋" w:hAnsi="仿宋" w:eastAsia="仿宋" w:cs="仿宋"/>
          <w:color w:val="auto"/>
          <w:sz w:val="28"/>
          <w:szCs w:val="28"/>
        </w:rPr>
        <w:t>，一般以种植最多</w:t>
      </w:r>
      <w:r>
        <w:rPr>
          <w:rFonts w:ascii="仿宋" w:hAnsi="仿宋" w:eastAsia="仿宋" w:cs="仿宋"/>
          <w:color w:val="auto"/>
          <w:spacing w:val="-8"/>
          <w:sz w:val="28"/>
          <w:szCs w:val="28"/>
        </w:rPr>
        <w:t>的青苗作为补偿的品种，不以品种分类作重复计补；被征收土地上的</w:t>
      </w:r>
      <w:r>
        <w:rPr>
          <w:rFonts w:ascii="仿宋" w:hAnsi="仿宋" w:eastAsia="仿宋" w:cs="仿宋"/>
          <w:color w:val="auto"/>
          <w:spacing w:val="-14"/>
          <w:sz w:val="28"/>
          <w:szCs w:val="28"/>
        </w:rPr>
        <w:t>竹</w:t>
      </w:r>
      <w:r>
        <w:rPr>
          <w:rFonts w:ascii="仿宋" w:hAnsi="仿宋" w:eastAsia="仿宋" w:cs="仿宋"/>
          <w:color w:val="auto"/>
          <w:spacing w:val="-10"/>
          <w:sz w:val="28"/>
          <w:szCs w:val="28"/>
        </w:rPr>
        <w:t>木等在规定期限种植人自行砍伐、搬迁的，竹木等材料归物主所有；</w:t>
      </w:r>
      <w:r>
        <w:rPr>
          <w:rFonts w:ascii="仿宋" w:hAnsi="仿宋" w:eastAsia="仿宋" w:cs="仿宋"/>
          <w:color w:val="auto"/>
          <w:spacing w:val="-12"/>
          <w:sz w:val="28"/>
          <w:szCs w:val="28"/>
        </w:rPr>
        <w:t>逾</w:t>
      </w:r>
      <w:r>
        <w:rPr>
          <w:rFonts w:ascii="仿宋" w:hAnsi="仿宋" w:eastAsia="仿宋" w:cs="仿宋"/>
          <w:color w:val="auto"/>
          <w:spacing w:val="-8"/>
          <w:sz w:val="28"/>
          <w:szCs w:val="28"/>
        </w:rPr>
        <w:t>期的，由征地单位按规定处理。具体标准见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下表：</w:t>
      </w:r>
    </w:p>
    <w:p>
      <w:pPr>
        <w:spacing w:line="360" w:lineRule="auto"/>
        <w:ind w:left="32" w:right="12" w:firstLine="560"/>
        <w:jc w:val="both"/>
        <w:rPr>
          <w:rFonts w:hint="eastAsia" w:ascii="仿宋" w:hAnsi="仿宋" w:eastAsia="仿宋" w:cs="仿宋"/>
          <w:color w:val="auto"/>
          <w:spacing w:val="-8"/>
          <w:sz w:val="28"/>
          <w:szCs w:val="28"/>
        </w:rPr>
      </w:pPr>
    </w:p>
    <w:p>
      <w:pPr>
        <w:spacing w:line="360" w:lineRule="auto"/>
        <w:ind w:left="32" w:right="12" w:firstLine="560"/>
        <w:jc w:val="both"/>
        <w:rPr>
          <w:rFonts w:hint="eastAsia" w:ascii="仿宋" w:hAnsi="仿宋" w:eastAsia="仿宋" w:cs="仿宋"/>
          <w:color w:val="auto"/>
          <w:spacing w:val="-8"/>
          <w:sz w:val="28"/>
          <w:szCs w:val="28"/>
        </w:rPr>
      </w:pPr>
    </w:p>
    <w:p>
      <w:pPr>
        <w:spacing w:afterLines="50"/>
        <w:ind w:left="40" w:firstLine="550"/>
        <w:jc w:val="center"/>
        <w:rPr>
          <w:rFonts w:ascii="仿宋" w:hAnsi="仿宋" w:eastAsia="仿宋" w:cs="仿宋"/>
          <w:b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</w:rPr>
        <w:t>表3：竹木类补偿标准表</w:t>
      </w: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40"/>
        <w:gridCol w:w="3457"/>
        <w:gridCol w:w="1387"/>
        <w:gridCol w:w="1458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3457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零星种植</w:t>
            </w:r>
          </w:p>
        </w:tc>
        <w:tc>
          <w:tcPr>
            <w:tcW w:w="2617" w:type="dxa"/>
            <w:gridSpan w:val="2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成片种植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补偿标准（元∕棵）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种植密度（棵/亩）</w:t>
            </w:r>
          </w:p>
        </w:tc>
        <w:tc>
          <w:tcPr>
            <w:tcW w:w="1159" w:type="dxa"/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最高补偿标准（元/亩）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竹类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麻竹、毛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苗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竹：成竹，竹高4m及以上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5.5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密集种植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黄竹、泥竹、丹竹：成竹，竹高4m及以上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密集种植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杉、松、梧树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特大棵（胸径超过25cm）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23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4830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大棵（胸径15-25cm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含））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25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3875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中棵（胸径8-15cm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含））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50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小棵（胸径小于8cm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含））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75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桉树、杂树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大（胸径超过15cm）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30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中（胸径8-15cm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含））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110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小（胸径小于8cm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含））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120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发财树、罗汉松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大（胸径5-7cm)（大于7cm评估确定）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340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胸径3-5cm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80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胸径1-3cm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含）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90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幼苗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胸径1cm及以下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300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桂花树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大（胸径5cm以上）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330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70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中（胸径3-5cm（含））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170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小（胸径1.5-3cm（含））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260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幼苗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胸径1.5cm及以下）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1000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柏树、樟树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胸径40cm以上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530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胸径30-40cm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含30cm)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320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胸径20-30cm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含20cm)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270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胸径10-20cm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含10cm)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胸径5-10cm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含5cm)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90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胸径5cm以下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23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600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2"/>
              </w:rPr>
              <w:t>13800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8801" w:type="dxa"/>
            <w:gridSpan w:val="5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对于可移植品种，补偿标准为竹木移植费用。对于不可移植或移植成活率低的品种，补偿标准为竹木补偿价值；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竹木按照清点数量、相应规格和补偿标准计算补偿费，每亩种植密度达到成林标准数量的，按亩计价补偿。计算的补偿费总额低于每亩最高补偿标准的，按计算的补偿费总额补偿，高于每亩最高补偿标准的，按每亩最高补偿标准补偿；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混种地块按亩补偿的以主要种植树种（地块内占比最多的树木）作为补偿标准，地块内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种类树木不再补偿；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对于此标准未覆盖的品种及规格，补偿标准可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参照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相近品种的标准或根据具体情况由有资质的机构进行评估，但每亩最高补偿棵数不得超过该树种科学种植的合理棵数。名贵品种应根据具体情况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spacing w:line="360" w:lineRule="auto"/>
        <w:ind w:left="32" w:right="12" w:firstLine="560"/>
        <w:jc w:val="both"/>
        <w:rPr>
          <w:rFonts w:ascii="仿宋" w:hAnsi="仿宋" w:eastAsia="仿宋" w:cs="仿宋"/>
          <w:color w:val="auto"/>
          <w:spacing w:val="-8"/>
          <w:sz w:val="28"/>
          <w:szCs w:val="28"/>
        </w:rPr>
      </w:pPr>
    </w:p>
    <w:p>
      <w:pPr>
        <w:spacing w:line="360" w:lineRule="auto"/>
        <w:ind w:left="588"/>
        <w:outlineLvl w:val="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-2"/>
          <w:sz w:val="28"/>
          <w:szCs w:val="28"/>
        </w:rPr>
        <w:t>二</w:t>
      </w:r>
      <w:r>
        <w:rPr>
          <w:rFonts w:ascii="仿宋" w:hAnsi="仿宋" w:eastAsia="仿宋" w:cs="仿宋"/>
          <w:b/>
          <w:color w:val="auto"/>
          <w:spacing w:val="-2"/>
          <w:sz w:val="28"/>
          <w:szCs w:val="28"/>
        </w:rPr>
        <w:t>、地上附着物补偿标</w:t>
      </w:r>
      <w:r>
        <w:rPr>
          <w:rFonts w:ascii="仿宋" w:hAnsi="仿宋" w:eastAsia="仿宋" w:cs="仿宋"/>
          <w:b/>
          <w:color w:val="auto"/>
          <w:spacing w:val="-1"/>
          <w:sz w:val="28"/>
          <w:szCs w:val="28"/>
        </w:rPr>
        <w:t>准</w:t>
      </w:r>
    </w:p>
    <w:p>
      <w:pPr>
        <w:spacing w:beforeLines="50" w:line="360" w:lineRule="auto"/>
        <w:ind w:left="40" w:firstLine="550"/>
        <w:outlineLvl w:val="1"/>
        <w:rPr>
          <w:rFonts w:ascii="仿宋" w:hAnsi="仿宋" w:eastAsia="仿宋" w:cs="仿宋"/>
          <w:b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1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b/>
          <w:color w:val="auto"/>
          <w:spacing w:val="10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color w:val="auto"/>
          <w:spacing w:val="1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</w:rPr>
        <w:t>村民住宅</w:t>
      </w:r>
    </w:p>
    <w:p>
      <w:pPr>
        <w:spacing w:afterLines="50"/>
        <w:ind w:left="40" w:firstLine="550"/>
        <w:jc w:val="center"/>
        <w:rPr>
          <w:rFonts w:ascii="仿宋" w:hAnsi="仿宋" w:eastAsia="仿宋" w:cs="仿宋"/>
          <w:b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</w:rPr>
        <w:t>表4：村民住宅建筑物补偿标准表</w:t>
      </w:r>
    </w:p>
    <w:tbl>
      <w:tblPr>
        <w:tblStyle w:val="8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491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房屋结构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单价（元/㎡）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框架结构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混合结构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（泥、红）砖木瓦结构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019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此补偿标准不含地价、不含装修，含基础、简易门窗与外墙批灰；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2.符合“一户一宅”村民住宅的宅基地使用权补偿价值应根据具体情况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；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3.对于此标准未覆盖项目，应根据具体情况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spacing w:beforeLines="100" w:line="360" w:lineRule="auto"/>
        <w:ind w:left="40" w:firstLine="550"/>
        <w:outlineLvl w:val="1"/>
        <w:rPr>
          <w:rFonts w:ascii="仿宋" w:hAnsi="仿宋" w:eastAsia="仿宋" w:cs="仿宋"/>
          <w:b/>
          <w:color w:val="auto"/>
          <w:spacing w:val="4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b/>
          <w:color w:val="auto"/>
          <w:spacing w:val="4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color w:val="auto"/>
          <w:spacing w:val="4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4"/>
          <w:sz w:val="28"/>
          <w:szCs w:val="28"/>
        </w:rPr>
        <w:t>生产生活附属用房</w:t>
      </w:r>
    </w:p>
    <w:p>
      <w:pPr>
        <w:spacing w:afterLines="50"/>
        <w:ind w:left="40" w:firstLine="550"/>
        <w:jc w:val="center"/>
        <w:rPr>
          <w:rFonts w:ascii="仿宋" w:hAnsi="仿宋" w:eastAsia="仿宋" w:cs="仿宋"/>
          <w:b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</w:rPr>
        <w:t>表5：生产生活附属用房补偿标准表</w:t>
      </w:r>
    </w:p>
    <w:tbl>
      <w:tblPr>
        <w:tblStyle w:val="8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668"/>
        <w:gridCol w:w="1539"/>
        <w:gridCol w:w="384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35" w:hRule="atLeast"/>
          <w:tblHeader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单价（元/㎡）</w:t>
            </w:r>
          </w:p>
        </w:tc>
        <w:tc>
          <w:tcPr>
            <w:tcW w:w="3843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2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砖墙铁皮房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3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层高低于</w:t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>2.2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米，内外墙抹灰，水泥地面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简易房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350</w:t>
            </w:r>
          </w:p>
        </w:tc>
        <w:tc>
          <w:tcPr>
            <w:tcW w:w="3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铁皮棚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3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8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标准养殖场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3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通水电、排水排污等设施齐全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21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8058" w:type="dxa"/>
            <w:gridSpan w:val="4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此补偿标准不含地价、不含装修；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对于此标准未覆盖项目，应根据具体情况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spacing w:beforeLines="100" w:line="360" w:lineRule="auto"/>
        <w:ind w:left="40" w:firstLine="550"/>
        <w:outlineLvl w:val="1"/>
        <w:rPr>
          <w:rFonts w:ascii="仿宋" w:hAnsi="仿宋" w:eastAsia="仿宋" w:cs="仿宋"/>
          <w:b/>
          <w:color w:val="auto"/>
          <w:spacing w:val="4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6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4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color w:val="auto"/>
          <w:spacing w:val="4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4"/>
          <w:sz w:val="28"/>
          <w:szCs w:val="28"/>
        </w:rPr>
        <w:t>构筑物及其他附属设施</w:t>
      </w:r>
    </w:p>
    <w:p>
      <w:pPr>
        <w:spacing w:afterLines="50"/>
        <w:ind w:left="40" w:firstLine="550"/>
        <w:jc w:val="center"/>
        <w:rPr>
          <w:rFonts w:ascii="仿宋" w:hAnsi="仿宋" w:eastAsia="仿宋" w:cs="仿宋"/>
          <w:b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</w:rPr>
        <w:t>表6：构筑物及其他附属设施补偿标准表</w:t>
      </w:r>
    </w:p>
    <w:tbl>
      <w:tblPr>
        <w:tblStyle w:val="8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46"/>
        <w:gridCol w:w="2992"/>
        <w:gridCol w:w="706"/>
        <w:gridCol w:w="1805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补偿标准（元/单位）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围墙、挡土墙、基础</w:t>
            </w: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（单砖）砖墙、围墙（未批档）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130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（单砖）砖墙、围墙（已批档）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150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（18墙）砖墙、围墙（未批档）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180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（18墙）砖墙、围墙（已批档）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（24墙）砖墙、围墙（未批档）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230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（24墙）砖墙、围墙（已批档）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260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毛石挡土墙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4"/>
                <w:szCs w:val="24"/>
              </w:rPr>
              <w:t>³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400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混凝土挡土墙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18"/>
                <w:b w:val="0"/>
                <w:bCs/>
                <w:snapToGrid w:val="0"/>
                <w:color w:val="auto"/>
                <w:lang w:val="en-US" w:eastAsia="zh-CN" w:bidi="ar"/>
              </w:rPr>
              <w:t>³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压墙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砖石房屋基础（按建基面积计）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250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11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混凝土基础（按建基面积计）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350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1046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门楼</w:t>
            </w: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门楼（宽2米以内）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座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3000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普通门楼标准，外墙瓷砖贴面，特殊工艺、材料、造型以及门匾等另计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13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门楼（宽2米内、高2米）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座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4000</w:t>
            </w:r>
          </w:p>
        </w:tc>
        <w:tc>
          <w:tcPr>
            <w:tcW w:w="2593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14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门楼（宽2.5米内、高2米）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座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6000</w:t>
            </w:r>
          </w:p>
        </w:tc>
        <w:tc>
          <w:tcPr>
            <w:tcW w:w="2593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15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门楼（宽3米内、高2米）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座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8500</w:t>
            </w:r>
          </w:p>
        </w:tc>
        <w:tc>
          <w:tcPr>
            <w:tcW w:w="2593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门楼（宽3米以上、高2米以上）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座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11000</w:t>
            </w:r>
          </w:p>
        </w:tc>
        <w:tc>
          <w:tcPr>
            <w:tcW w:w="2593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17</w:t>
            </w:r>
          </w:p>
        </w:tc>
        <w:tc>
          <w:tcPr>
            <w:tcW w:w="1046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混凝土道路</w:t>
            </w: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混凝土道路（220mm厚）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210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18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混凝土道路（150mm厚）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170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19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混凝土道路（100mm厚）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130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20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其他附属设施</w:t>
            </w: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普通水井（按容积计）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4"/>
                <w:szCs w:val="24"/>
              </w:rPr>
              <w:t>³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21</w:t>
            </w:r>
          </w:p>
        </w:tc>
        <w:tc>
          <w:tcPr>
            <w:tcW w:w="1046" w:type="dxa"/>
            <w:vMerge w:val="continue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泥井（限5m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4"/>
                <w:szCs w:val="24"/>
              </w:rPr>
              <w:t>³</w:t>
            </w: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以内）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4"/>
                <w:szCs w:val="24"/>
              </w:rPr>
              <w:t>³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150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手摇井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口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2000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23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晒坪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80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水泥地坪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25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化粪池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个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3000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26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家用沼气池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4"/>
                <w:szCs w:val="24"/>
              </w:rPr>
              <w:t>³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27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户外水池（砖）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4"/>
                <w:szCs w:val="24"/>
              </w:rPr>
              <w:t>³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28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水渠、水沟（砖）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150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29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炉灶（水泥砂浆面）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套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1000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30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炉灶（瓷片贴面）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套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2500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31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炉灶（大理石贴面）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750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32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户外水管DN15（PVC）4分管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含管件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33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户外水管DN20（PVC）6分管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2593" w:type="dxa"/>
            <w:vMerge w:val="continue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户外水管φ110（PVC）4寸管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2593" w:type="dxa"/>
            <w:vMerge w:val="continue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户外水管φ160（PVC）6寸管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2593" w:type="dxa"/>
            <w:vMerge w:val="continue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水泥涵管（DN300</w:t>
            </w: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210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37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水泥涵管（DN500</w:t>
            </w: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380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38</w:t>
            </w:r>
          </w:p>
        </w:tc>
        <w:tc>
          <w:tcPr>
            <w:tcW w:w="1046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移装费用</w:t>
            </w: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空气能、太阳能（家用）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套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空调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台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9142" w:type="dxa"/>
            <w:gridSpan w:val="5"/>
            <w:vAlign w:val="center"/>
          </w:tcPr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此标准为地上附着物重置价格补偿；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对于此标准未覆盖项目，应根据具体情况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spacing w:beforeLines="50" w:line="360" w:lineRule="auto"/>
        <w:ind w:left="40" w:firstLine="550"/>
        <w:outlineLvl w:val="1"/>
        <w:rPr>
          <w:rFonts w:ascii="仿宋" w:hAnsi="仿宋" w:eastAsia="仿宋" w:cs="仿宋"/>
          <w:b/>
          <w:color w:val="auto"/>
          <w:spacing w:val="4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4"/>
          <w:sz w:val="28"/>
          <w:szCs w:val="28"/>
        </w:rPr>
        <w:t>（四）坟墓</w:t>
      </w:r>
    </w:p>
    <w:p>
      <w:pPr>
        <w:ind w:left="40" w:firstLine="550"/>
        <w:jc w:val="center"/>
        <w:rPr>
          <w:rFonts w:ascii="仿宋" w:hAnsi="仿宋" w:eastAsia="仿宋" w:cs="仿宋"/>
          <w:b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</w:rPr>
        <w:t>表7：坟墓搬迁补偿标准表</w:t>
      </w:r>
    </w:p>
    <w:tbl>
      <w:tblPr>
        <w:tblStyle w:val="8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3025"/>
        <w:gridCol w:w="1631"/>
        <w:gridCol w:w="341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5" w:hRule="atLeast"/>
          <w:tblHeader/>
          <w:jc w:val="center"/>
        </w:trPr>
        <w:tc>
          <w:tcPr>
            <w:tcW w:w="103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补偿标准（元/单位）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8" w:hRule="atLeast"/>
          <w:jc w:val="center"/>
        </w:trPr>
        <w:tc>
          <w:tcPr>
            <w:tcW w:w="103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阴城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8" w:hRule="atLeast"/>
          <w:jc w:val="center"/>
        </w:trPr>
        <w:tc>
          <w:tcPr>
            <w:tcW w:w="103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金坛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个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8" w:hRule="atLeast"/>
          <w:jc w:val="center"/>
        </w:trPr>
        <w:tc>
          <w:tcPr>
            <w:tcW w:w="103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土坟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座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5" w:hRule="atLeast"/>
          <w:jc w:val="center"/>
        </w:trPr>
        <w:tc>
          <w:tcPr>
            <w:tcW w:w="103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水泥（石灰）坟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座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033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8086" w:type="dxa"/>
            <w:gridSpan w:val="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此标准仅为坟墓搬迁费用，其重置成本应根据具体情况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；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2.对于此标准未覆盖项目，应根据具体情况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spacing w:beforeLines="100" w:line="360" w:lineRule="auto"/>
        <w:ind w:left="40" w:firstLine="550"/>
        <w:outlineLvl w:val="0"/>
        <w:rPr>
          <w:rFonts w:ascii="仿宋" w:hAnsi="仿宋" w:eastAsia="仿宋" w:cs="仿宋"/>
          <w:b/>
          <w:color w:val="auto"/>
          <w:spacing w:val="-1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-2"/>
          <w:sz w:val="28"/>
          <w:szCs w:val="28"/>
        </w:rPr>
        <w:t>三</w:t>
      </w:r>
      <w:r>
        <w:rPr>
          <w:rFonts w:ascii="仿宋" w:hAnsi="仿宋" w:eastAsia="仿宋" w:cs="仿宋"/>
          <w:b/>
          <w:color w:val="auto"/>
          <w:spacing w:val="-2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auto"/>
          <w:spacing w:val="-2"/>
          <w:sz w:val="28"/>
          <w:szCs w:val="28"/>
        </w:rPr>
        <w:t>养殖类</w:t>
      </w:r>
      <w:r>
        <w:rPr>
          <w:rFonts w:ascii="仿宋" w:hAnsi="仿宋" w:eastAsia="仿宋" w:cs="仿宋"/>
          <w:b/>
          <w:color w:val="auto"/>
          <w:spacing w:val="-2"/>
          <w:sz w:val="28"/>
          <w:szCs w:val="28"/>
        </w:rPr>
        <w:t>补偿标</w:t>
      </w:r>
      <w:r>
        <w:rPr>
          <w:rFonts w:ascii="仿宋" w:hAnsi="仿宋" w:eastAsia="仿宋" w:cs="仿宋"/>
          <w:b/>
          <w:color w:val="auto"/>
          <w:spacing w:val="-1"/>
          <w:sz w:val="28"/>
          <w:szCs w:val="28"/>
        </w:rPr>
        <w:t>准</w:t>
      </w:r>
    </w:p>
    <w:p>
      <w:pPr>
        <w:spacing w:line="360" w:lineRule="auto"/>
        <w:ind w:left="32" w:right="12" w:firstLine="560"/>
        <w:jc w:val="both"/>
        <w:rPr>
          <w:rFonts w:ascii="仿宋" w:hAnsi="仿宋" w:eastAsia="仿宋" w:cs="仿宋"/>
          <w:color w:val="auto"/>
          <w:spacing w:val="-8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养殖类补偿为搬迁损失补偿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，按养殖水面面积计算补偿</w:t>
      </w:r>
      <w:r>
        <w:rPr>
          <w:rFonts w:ascii="仿宋" w:hAnsi="仿宋" w:eastAsia="仿宋" w:cs="仿宋"/>
          <w:color w:val="auto"/>
          <w:spacing w:val="-4"/>
          <w:sz w:val="28"/>
          <w:szCs w:val="28"/>
        </w:rPr>
        <w:t>。</w:t>
      </w:r>
      <w:r>
        <w:rPr>
          <w:rFonts w:ascii="仿宋" w:hAnsi="仿宋" w:eastAsia="仿宋" w:cs="仿宋"/>
          <w:color w:val="auto"/>
          <w:spacing w:val="-8"/>
          <w:sz w:val="28"/>
          <w:szCs w:val="28"/>
        </w:rPr>
        <w:t>具体标准见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下表：</w:t>
      </w:r>
    </w:p>
    <w:p>
      <w:pPr>
        <w:spacing w:afterLines="50"/>
        <w:ind w:left="40" w:firstLine="550"/>
        <w:jc w:val="center"/>
        <w:rPr>
          <w:rFonts w:ascii="仿宋" w:hAnsi="仿宋" w:eastAsia="仿宋" w:cs="仿宋"/>
          <w:b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</w:rPr>
        <w:t>表8：养殖类补偿标准表</w:t>
      </w:r>
    </w:p>
    <w:tbl>
      <w:tblPr>
        <w:tblStyle w:val="8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80"/>
        <w:gridCol w:w="889"/>
        <w:gridCol w:w="4030"/>
        <w:gridCol w:w="2111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养殖产品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补偿标准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（元/亩）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水产类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一般品种</w:t>
            </w:r>
          </w:p>
        </w:tc>
        <w:tc>
          <w:tcPr>
            <w:tcW w:w="40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2"/>
                <w:szCs w:val="24"/>
              </w:rPr>
              <w:t>草鱼</w:t>
            </w:r>
            <w:r>
              <w:rPr>
                <w:rFonts w:hint="eastAsia" w:ascii="仿宋" w:hAnsi="仿宋" w:eastAsia="仿宋"/>
                <w:bCs/>
                <w:color w:val="auto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2"/>
                <w:szCs w:val="24"/>
              </w:rPr>
              <w:t>鲩鱼</w:t>
            </w:r>
            <w:r>
              <w:rPr>
                <w:rFonts w:hint="eastAsia" w:ascii="仿宋" w:hAnsi="仿宋" w:eastAsia="仿宋"/>
                <w:bCs/>
                <w:color w:val="auto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2"/>
                <w:szCs w:val="24"/>
              </w:rPr>
              <w:t>、鲢鱼、鳊鱼、鳙鱼</w:t>
            </w:r>
            <w:r>
              <w:rPr>
                <w:rFonts w:hint="eastAsia" w:ascii="仿宋" w:hAnsi="仿宋" w:eastAsia="仿宋"/>
                <w:bCs/>
                <w:color w:val="auto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auto"/>
                <w:sz w:val="22"/>
                <w:szCs w:val="24"/>
              </w:rPr>
              <w:t>大头鱼</w:t>
            </w:r>
            <w:r>
              <w:rPr>
                <w:rFonts w:hint="eastAsia" w:ascii="仿宋" w:hAnsi="仿宋" w:eastAsia="仿宋"/>
                <w:bCs/>
                <w:color w:val="auto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2"/>
                <w:szCs w:val="24"/>
              </w:rPr>
              <w:t>、鲫鱼类、鲈鱼类、鲮鱼、鲤鱼、各种罗非鱼、塘虱、南方大头鲶、淡水白鲳及其他市场价格与前述相同或相近的鱼类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2"/>
                <w:szCs w:val="24"/>
              </w:rPr>
              <w:t>9200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2"/>
                <w:szCs w:val="24"/>
              </w:rPr>
              <w:t>不分主养或混养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优质品种</w:t>
            </w:r>
          </w:p>
        </w:tc>
        <w:tc>
          <w:tcPr>
            <w:tcW w:w="40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2"/>
                <w:szCs w:val="24"/>
              </w:rPr>
              <w:t>龙虱、虾类、广东鲂（边鱼、大眼鸡）、桂花鱼、黄骨鱼、生鱼、鳗鱼、甲鱼（水鱼）、蛙类及其他市场价格相近与前述相同或相近的鱼类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2"/>
                <w:szCs w:val="24"/>
              </w:rPr>
              <w:t>10000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2"/>
                <w:szCs w:val="24"/>
              </w:rPr>
              <w:t>与一般鱼类混养的，按一般鱼类补偿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46" w:type="dxa"/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9791" w:type="dxa"/>
            <w:gridSpan w:val="5"/>
          </w:tcPr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水产养殖补偿含养殖损失、推塘费、干塘费和搬迁费；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按养殖水面面积计算补偿，养殖水面面积是指正常养殖蓄水的水面面积；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征地红线内外水面相连，红线内施工期间红线外无法正常养殖的，原则上应当采取有效措施，确保红线外继续养殖，但措施费用高于红线外养殖损失补偿费的，红线内外养殖损失一并补偿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4.对于此标准未覆盖项目，应根据具体情况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spacing w:line="360" w:lineRule="auto"/>
        <w:rPr>
          <w:rFonts w:eastAsiaTheme="minorEastAsia"/>
          <w:color w:val="auto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1"/>
      <w:pgMar w:top="1157" w:right="1418" w:bottom="1174" w:left="1418" w:header="885" w:footer="998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文本框 4" o:spid="_x0000_s103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3213511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10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9Kf18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z0p/X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jc w:val="center"/>
      <w:rPr>
        <w:rFonts w:ascii="黑体" w:hAnsi="黑体" w:eastAsia="黑体" w:cs="黑体"/>
        <w:spacing w:val="10"/>
        <w:sz w:val="18"/>
        <w:szCs w:val="18"/>
      </w:rPr>
    </w:pPr>
    <w:r>
      <w:rPr>
        <w:rFonts w:hint="eastAsia" w:ascii="黑体" w:hAnsi="黑体" w:eastAsia="黑体" w:cs="黑体"/>
        <w:spacing w:val="10"/>
        <w:sz w:val="18"/>
        <w:szCs w:val="18"/>
      </w:rPr>
      <w:t>河源市区征收土地青苗和地上附着物补偿标准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FiMTlmYmI1OWVmMDgwYjNhZDg4OTk3MDdhMzM3YzYifQ=="/>
  </w:docVars>
  <w:rsids>
    <w:rsidRoot w:val="00B24129"/>
    <w:rsid w:val="00012C20"/>
    <w:rsid w:val="00014ECA"/>
    <w:rsid w:val="00020C9E"/>
    <w:rsid w:val="00060B27"/>
    <w:rsid w:val="00066E35"/>
    <w:rsid w:val="00070447"/>
    <w:rsid w:val="0009373D"/>
    <w:rsid w:val="000A2F1B"/>
    <w:rsid w:val="000B49B0"/>
    <w:rsid w:val="000B4CE4"/>
    <w:rsid w:val="000F323A"/>
    <w:rsid w:val="000F5DFB"/>
    <w:rsid w:val="00112F60"/>
    <w:rsid w:val="0012026C"/>
    <w:rsid w:val="001430F2"/>
    <w:rsid w:val="00157262"/>
    <w:rsid w:val="0015733E"/>
    <w:rsid w:val="0018443E"/>
    <w:rsid w:val="0019230C"/>
    <w:rsid w:val="001A2411"/>
    <w:rsid w:val="001A4D4F"/>
    <w:rsid w:val="001A7981"/>
    <w:rsid w:val="001B040B"/>
    <w:rsid w:val="001B75EA"/>
    <w:rsid w:val="001D6119"/>
    <w:rsid w:val="001E2A7F"/>
    <w:rsid w:val="001E4CC6"/>
    <w:rsid w:val="002261B9"/>
    <w:rsid w:val="00235231"/>
    <w:rsid w:val="002361FA"/>
    <w:rsid w:val="00237C08"/>
    <w:rsid w:val="00242AE6"/>
    <w:rsid w:val="002602DA"/>
    <w:rsid w:val="00273069"/>
    <w:rsid w:val="00294063"/>
    <w:rsid w:val="0029517C"/>
    <w:rsid w:val="002A017C"/>
    <w:rsid w:val="002A52AB"/>
    <w:rsid w:val="002B2251"/>
    <w:rsid w:val="002C0034"/>
    <w:rsid w:val="002C377D"/>
    <w:rsid w:val="003463CD"/>
    <w:rsid w:val="00347555"/>
    <w:rsid w:val="0036018F"/>
    <w:rsid w:val="00362322"/>
    <w:rsid w:val="00381421"/>
    <w:rsid w:val="003D6981"/>
    <w:rsid w:val="004002E9"/>
    <w:rsid w:val="00400AB3"/>
    <w:rsid w:val="00405664"/>
    <w:rsid w:val="00407259"/>
    <w:rsid w:val="00420280"/>
    <w:rsid w:val="00430D2F"/>
    <w:rsid w:val="004621F1"/>
    <w:rsid w:val="00462C34"/>
    <w:rsid w:val="00480B44"/>
    <w:rsid w:val="004B1BE5"/>
    <w:rsid w:val="004B33C5"/>
    <w:rsid w:val="004C1BAB"/>
    <w:rsid w:val="004C1FA6"/>
    <w:rsid w:val="004E27A7"/>
    <w:rsid w:val="004E2FA6"/>
    <w:rsid w:val="00507959"/>
    <w:rsid w:val="005631C3"/>
    <w:rsid w:val="005806F3"/>
    <w:rsid w:val="00583CE9"/>
    <w:rsid w:val="00592C05"/>
    <w:rsid w:val="005944B6"/>
    <w:rsid w:val="005B1509"/>
    <w:rsid w:val="005B7C30"/>
    <w:rsid w:val="00615DD0"/>
    <w:rsid w:val="00616CA9"/>
    <w:rsid w:val="006407B8"/>
    <w:rsid w:val="00644AD3"/>
    <w:rsid w:val="00657119"/>
    <w:rsid w:val="006753C3"/>
    <w:rsid w:val="00685089"/>
    <w:rsid w:val="00690273"/>
    <w:rsid w:val="006F379A"/>
    <w:rsid w:val="007055E2"/>
    <w:rsid w:val="007248B4"/>
    <w:rsid w:val="00787E46"/>
    <w:rsid w:val="007B7241"/>
    <w:rsid w:val="007C31F8"/>
    <w:rsid w:val="007D15DC"/>
    <w:rsid w:val="007E334C"/>
    <w:rsid w:val="007E3446"/>
    <w:rsid w:val="007F77C3"/>
    <w:rsid w:val="007F7E29"/>
    <w:rsid w:val="008165C7"/>
    <w:rsid w:val="00823FCF"/>
    <w:rsid w:val="008270C9"/>
    <w:rsid w:val="008279BB"/>
    <w:rsid w:val="008321AF"/>
    <w:rsid w:val="008350A9"/>
    <w:rsid w:val="008351C3"/>
    <w:rsid w:val="008E5B7F"/>
    <w:rsid w:val="00923756"/>
    <w:rsid w:val="0093456D"/>
    <w:rsid w:val="00946001"/>
    <w:rsid w:val="00956874"/>
    <w:rsid w:val="00964B40"/>
    <w:rsid w:val="00971F7E"/>
    <w:rsid w:val="00975283"/>
    <w:rsid w:val="009B3176"/>
    <w:rsid w:val="009C2CB0"/>
    <w:rsid w:val="009D1C01"/>
    <w:rsid w:val="009D3482"/>
    <w:rsid w:val="009D5F50"/>
    <w:rsid w:val="00A002DF"/>
    <w:rsid w:val="00A143E6"/>
    <w:rsid w:val="00A159E3"/>
    <w:rsid w:val="00A3095B"/>
    <w:rsid w:val="00A31140"/>
    <w:rsid w:val="00A35B39"/>
    <w:rsid w:val="00A8244C"/>
    <w:rsid w:val="00AE1A50"/>
    <w:rsid w:val="00B01B1C"/>
    <w:rsid w:val="00B146E4"/>
    <w:rsid w:val="00B24129"/>
    <w:rsid w:val="00B26ACD"/>
    <w:rsid w:val="00B277CB"/>
    <w:rsid w:val="00B524A0"/>
    <w:rsid w:val="00B97778"/>
    <w:rsid w:val="00BA66F7"/>
    <w:rsid w:val="00BC275E"/>
    <w:rsid w:val="00BF715D"/>
    <w:rsid w:val="00C0395F"/>
    <w:rsid w:val="00C13200"/>
    <w:rsid w:val="00C43834"/>
    <w:rsid w:val="00C44C5C"/>
    <w:rsid w:val="00C861BE"/>
    <w:rsid w:val="00C94947"/>
    <w:rsid w:val="00D04FF5"/>
    <w:rsid w:val="00D124FC"/>
    <w:rsid w:val="00D21D2B"/>
    <w:rsid w:val="00D26914"/>
    <w:rsid w:val="00D30601"/>
    <w:rsid w:val="00D351B0"/>
    <w:rsid w:val="00D572D3"/>
    <w:rsid w:val="00D65516"/>
    <w:rsid w:val="00D705F6"/>
    <w:rsid w:val="00D924AD"/>
    <w:rsid w:val="00D92589"/>
    <w:rsid w:val="00DE3B85"/>
    <w:rsid w:val="00DF6BEC"/>
    <w:rsid w:val="00E02CEF"/>
    <w:rsid w:val="00E062DD"/>
    <w:rsid w:val="00E06F25"/>
    <w:rsid w:val="00E2654D"/>
    <w:rsid w:val="00E94172"/>
    <w:rsid w:val="00EB708D"/>
    <w:rsid w:val="00EC2F0B"/>
    <w:rsid w:val="00EC30A2"/>
    <w:rsid w:val="00EE4E8F"/>
    <w:rsid w:val="00EE775D"/>
    <w:rsid w:val="00EF2948"/>
    <w:rsid w:val="00EF3E9B"/>
    <w:rsid w:val="00F262CB"/>
    <w:rsid w:val="00F27D42"/>
    <w:rsid w:val="00F35D0F"/>
    <w:rsid w:val="00F44AD0"/>
    <w:rsid w:val="00F45197"/>
    <w:rsid w:val="00F46E98"/>
    <w:rsid w:val="00F717B1"/>
    <w:rsid w:val="00F80123"/>
    <w:rsid w:val="00F86443"/>
    <w:rsid w:val="00F868DB"/>
    <w:rsid w:val="00FA4BA5"/>
    <w:rsid w:val="00FA6666"/>
    <w:rsid w:val="00FD1BF5"/>
    <w:rsid w:val="00FD34E3"/>
    <w:rsid w:val="00FF7C8A"/>
    <w:rsid w:val="04DD4C80"/>
    <w:rsid w:val="07A304A1"/>
    <w:rsid w:val="088C3CD7"/>
    <w:rsid w:val="0ABB732D"/>
    <w:rsid w:val="0E26072A"/>
    <w:rsid w:val="24212468"/>
    <w:rsid w:val="2C9246CF"/>
    <w:rsid w:val="339E46D0"/>
    <w:rsid w:val="340A3248"/>
    <w:rsid w:val="3BED23B3"/>
    <w:rsid w:val="3EF15B1B"/>
    <w:rsid w:val="4550589D"/>
    <w:rsid w:val="46184820"/>
    <w:rsid w:val="4A080708"/>
    <w:rsid w:val="4A3F3D99"/>
    <w:rsid w:val="4CE06FD2"/>
    <w:rsid w:val="51015C39"/>
    <w:rsid w:val="7C3B4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3">
    <w:name w:val="annotation text"/>
    <w:basedOn w:val="1"/>
    <w:link w:val="15"/>
    <w:qFormat/>
    <w:uiPriority w:val="0"/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9"/>
    <w:link w:val="6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5">
    <w:name w:val="批注文字 Char"/>
    <w:basedOn w:val="9"/>
    <w:link w:val="3"/>
    <w:qFormat/>
    <w:uiPriority w:val="0"/>
    <w:rPr>
      <w:rFonts w:eastAsia="Arial"/>
      <w:snapToGrid w:val="0"/>
      <w:color w:val="000000"/>
      <w:sz w:val="21"/>
      <w:szCs w:val="21"/>
    </w:rPr>
  </w:style>
  <w:style w:type="character" w:customStyle="1" w:styleId="16">
    <w:name w:val="批注主题 Char"/>
    <w:basedOn w:val="15"/>
    <w:link w:val="7"/>
    <w:qFormat/>
    <w:uiPriority w:val="0"/>
    <w:rPr>
      <w:b/>
      <w:bCs/>
    </w:rPr>
  </w:style>
  <w:style w:type="character" w:customStyle="1" w:styleId="17">
    <w:name w:val="文档结构图 Char"/>
    <w:basedOn w:val="9"/>
    <w:link w:val="2"/>
    <w:qFormat/>
    <w:uiPriority w:val="0"/>
    <w:rPr>
      <w:rFonts w:ascii="宋体" w:eastAsia="宋体"/>
      <w:snapToGrid w:val="0"/>
      <w:color w:val="000000"/>
      <w:sz w:val="18"/>
      <w:szCs w:val="18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5DFF7-E8BA-46EF-B879-E7CEDE3EC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4382</Words>
  <Characters>5369</Characters>
  <Lines>56</Lines>
  <Paragraphs>15</Paragraphs>
  <TotalTime>20</TotalTime>
  <ScaleCrop>false</ScaleCrop>
  <LinksUpToDate>false</LinksUpToDate>
  <CharactersWithSpaces>5396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2022-06-25T02:44:00Z</dcterms:created>
  <dc:creator>admin</dc:creator>
  <cp:lastModifiedBy>罗少健</cp:lastModifiedBy>
  <cp:lastPrinted>2023-08-29T02:05:00Z</cp:lastPrinted>
  <dcterms:modified xsi:type="dcterms:W3CDTF">2023-09-11T01:42:11Z</dcterms:modified>
  <dc:title>关于汕尾市区征地补偿标准的有关情况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2023-02-20T11:39:27Z</vt:filetime>
  </property>
  <property fmtid="{D5CDD505-2E9C-101B-9397-08002B2CF9AE}" pid="4" name="KSOProductBuildVer">
    <vt:lpwstr>2052-12.1.0.15120</vt:lpwstr>
  </property>
  <property fmtid="{D5CDD505-2E9C-101B-9397-08002B2CF9AE}" pid="5" name="ICV">
    <vt:lpwstr>8D6717C78CD14602A6823B5A5AA85FB9_13</vt:lpwstr>
  </property>
</Properties>
</file>