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pacing w:val="-16"/>
          <w:sz w:val="44"/>
        </w:rPr>
      </w:pPr>
      <w:r>
        <w:rPr>
          <w:rFonts w:hint="eastAsia" w:eastAsia="宋体"/>
          <w:b/>
          <w:bCs/>
          <w:spacing w:val="-16"/>
          <w:sz w:val="44"/>
        </w:rPr>
        <w:t>户用风冷冷水（热泵）机组</w:t>
      </w:r>
      <w:r>
        <w:rPr>
          <w:rFonts w:hint="eastAsia" w:ascii="宋体" w:hAnsi="宋体" w:eastAsia="宋体" w:cs="宋体"/>
          <w:b/>
          <w:bCs/>
          <w:spacing w:val="-16"/>
          <w:sz w:val="44"/>
        </w:rPr>
        <w:t>产品</w:t>
      </w:r>
    </w:p>
    <w:p>
      <w:pPr>
        <w:jc w:val="center"/>
        <w:rPr>
          <w:b/>
          <w:bCs/>
          <w:spacing w:val="-16"/>
          <w:sz w:val="44"/>
        </w:rPr>
      </w:pPr>
      <w:r>
        <w:rPr>
          <w:rFonts w:hint="eastAsia" w:ascii="宋体" w:hAnsi="宋体" w:eastAsia="宋体" w:cs="宋体"/>
          <w:b/>
          <w:bCs/>
          <w:spacing w:val="-16"/>
          <w:sz w:val="44"/>
        </w:rPr>
        <w:t>质量监督抽查实施细则</w:t>
      </w:r>
    </w:p>
    <w:p>
      <w:pPr>
        <w:rPr>
          <w:rFonts w:eastAsia="方正小标宋简体" w:cs="方正小标宋简体"/>
          <w:sz w:val="44"/>
          <w:szCs w:val="44"/>
        </w:rPr>
      </w:pPr>
    </w:p>
    <w:p>
      <w:pPr>
        <w:snapToGrid w:val="0"/>
        <w:spacing w:line="360" w:lineRule="auto"/>
        <w:ind w:firstLine="640" w:firstLineChars="200"/>
        <w:rPr>
          <w:rFonts w:ascii="黑体" w:hAnsi="黑体" w:eastAsia="黑体" w:cs="黑体"/>
          <w:color w:val="000000"/>
          <w:szCs w:val="32"/>
        </w:rPr>
      </w:pPr>
      <w:r>
        <w:rPr>
          <w:rFonts w:hint="eastAsia" w:ascii="黑体" w:hAnsi="黑体" w:eastAsia="黑体" w:cs="黑体"/>
          <w:color w:val="000000"/>
          <w:szCs w:val="32"/>
        </w:rPr>
        <w:t>一、抽样方法</w:t>
      </w:r>
    </w:p>
    <w:p>
      <w:pPr>
        <w:widowControl/>
        <w:spacing w:line="360" w:lineRule="auto"/>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kern w:val="0"/>
          <w:szCs w:val="32"/>
        </w:rPr>
        <w:t>以随机抽样的方式在被抽查市场主体的待销产品中抽取。</w:t>
      </w:r>
    </w:p>
    <w:p>
      <w:pPr>
        <w:snapToGrid w:val="0"/>
        <w:spacing w:line="360" w:lineRule="auto"/>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随机数一般可使用随机数表等方法产生。</w:t>
      </w:r>
    </w:p>
    <w:p>
      <w:pPr>
        <w:snapToGrid w:val="0"/>
        <w:spacing w:line="360" w:lineRule="auto"/>
        <w:ind w:firstLine="640" w:firstLineChars="200"/>
        <w:rPr>
          <w:rFonts w:hint="eastAsia" w:ascii="仿宋_GB2312" w:hAnsi="仿宋_GB2312" w:eastAsia="仿宋_GB2312" w:cs="仿宋_GB2312"/>
          <w:color w:val="000000"/>
          <w:szCs w:val="32"/>
        </w:rPr>
      </w:pPr>
      <w:r>
        <w:rPr>
          <w:rFonts w:hint="eastAsia" w:ascii="仿宋_GB2312" w:hAnsi="仿宋_GB2312" w:eastAsia="仿宋_GB2312" w:cs="仿宋_GB2312"/>
          <w:color w:val="000000"/>
          <w:szCs w:val="32"/>
        </w:rPr>
        <w:t>抽查数量：每款产品抽取2组样本，第1组用于检验，第2组用于备样，封存在被抽查单位。具体抽样数量如下：</w:t>
      </w:r>
    </w:p>
    <w:tbl>
      <w:tblPr>
        <w:tblStyle w:val="6"/>
        <w:tblW w:w="8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516"/>
        <w:gridCol w:w="1980"/>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35" w:type="dxa"/>
          </w:tcPr>
          <w:p>
            <w:pPr>
              <w:jc w:val="center"/>
              <w:rPr>
                <w:rFonts w:ascii="仿宋" w:hAnsi="仿宋" w:eastAsia="仿宋" w:cs="仿宋"/>
                <w:b/>
                <w:bCs/>
                <w:sz w:val="24"/>
              </w:rPr>
            </w:pPr>
            <w:r>
              <w:rPr>
                <w:rFonts w:hint="eastAsia" w:ascii="仿宋" w:hAnsi="仿宋" w:eastAsia="仿宋" w:cs="仿宋"/>
                <w:b/>
                <w:bCs/>
                <w:sz w:val="24"/>
              </w:rPr>
              <w:t>序号</w:t>
            </w:r>
          </w:p>
        </w:tc>
        <w:tc>
          <w:tcPr>
            <w:tcW w:w="3516" w:type="dxa"/>
            <w:vAlign w:val="center"/>
          </w:tcPr>
          <w:p>
            <w:pPr>
              <w:jc w:val="center"/>
              <w:rPr>
                <w:rFonts w:ascii="仿宋" w:hAnsi="仿宋" w:eastAsia="仿宋" w:cs="仿宋"/>
                <w:b/>
                <w:bCs/>
                <w:sz w:val="24"/>
              </w:rPr>
            </w:pPr>
            <w:r>
              <w:rPr>
                <w:rFonts w:hint="eastAsia" w:ascii="仿宋" w:hAnsi="仿宋" w:eastAsia="仿宋" w:cs="仿宋"/>
                <w:b/>
                <w:bCs/>
                <w:sz w:val="24"/>
              </w:rPr>
              <w:t>被抽查的产品品种</w:t>
            </w:r>
          </w:p>
        </w:tc>
        <w:tc>
          <w:tcPr>
            <w:tcW w:w="1980" w:type="dxa"/>
            <w:vAlign w:val="center"/>
          </w:tcPr>
          <w:p>
            <w:pPr>
              <w:jc w:val="center"/>
              <w:rPr>
                <w:rFonts w:ascii="仿宋" w:hAnsi="仿宋" w:eastAsia="仿宋" w:cs="仿宋"/>
                <w:b/>
                <w:bCs/>
                <w:sz w:val="24"/>
              </w:rPr>
            </w:pPr>
            <w:r>
              <w:rPr>
                <w:rFonts w:hint="eastAsia" w:ascii="仿宋" w:hAnsi="仿宋" w:eastAsia="仿宋" w:cs="仿宋"/>
                <w:b/>
                <w:bCs/>
                <w:kern w:val="0"/>
                <w:sz w:val="24"/>
              </w:rPr>
              <w:t>第1组数量</w:t>
            </w:r>
            <w:r>
              <w:rPr>
                <w:rFonts w:hint="eastAsia" w:ascii="仿宋" w:hAnsi="仿宋" w:eastAsia="仿宋" w:cs="仿宋"/>
                <w:b/>
                <w:bCs/>
                <w:sz w:val="24"/>
              </w:rPr>
              <w:t>（款）</w:t>
            </w:r>
          </w:p>
        </w:tc>
        <w:tc>
          <w:tcPr>
            <w:tcW w:w="1971" w:type="dxa"/>
            <w:vAlign w:val="center"/>
          </w:tcPr>
          <w:p>
            <w:pPr>
              <w:jc w:val="center"/>
              <w:rPr>
                <w:rFonts w:ascii="仿宋" w:hAnsi="仿宋" w:eastAsia="仿宋" w:cs="仿宋"/>
                <w:b/>
                <w:bCs/>
                <w:sz w:val="24"/>
              </w:rPr>
            </w:pPr>
            <w:r>
              <w:rPr>
                <w:rFonts w:hint="eastAsia" w:ascii="仿宋" w:hAnsi="仿宋" w:eastAsia="仿宋" w:cs="仿宋"/>
                <w:b/>
                <w:bCs/>
                <w:kern w:val="0"/>
                <w:sz w:val="24"/>
              </w:rPr>
              <w:t>第2组数量</w:t>
            </w:r>
            <w:r>
              <w:rPr>
                <w:rFonts w:hint="eastAsia" w:ascii="仿宋" w:hAnsi="仿宋" w:eastAsia="仿宋" w:cs="仿宋"/>
                <w:b/>
                <w:bCs/>
                <w:sz w:val="24"/>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center"/>
        </w:trPr>
        <w:tc>
          <w:tcPr>
            <w:tcW w:w="735"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1</w:t>
            </w:r>
          </w:p>
        </w:tc>
        <w:tc>
          <w:tcPr>
            <w:tcW w:w="3516" w:type="dxa"/>
            <w:vAlign w:val="center"/>
          </w:tcPr>
          <w:p>
            <w:pPr>
              <w:snapToGrid w:val="0"/>
              <w:jc w:val="center"/>
              <w:rPr>
                <w:rFonts w:ascii="仿宋" w:hAnsi="仿宋" w:eastAsia="仿宋" w:cs="仿宋"/>
                <w:color w:val="000000"/>
                <w:sz w:val="24"/>
              </w:rPr>
            </w:pPr>
            <w:r>
              <w:rPr>
                <w:rFonts w:hint="eastAsia" w:ascii="仿宋_GB2312" w:hAnsi="仿宋_GB2312"/>
              </w:rPr>
              <w:t>户用风冷冷水（热泵）机组</w:t>
            </w:r>
          </w:p>
        </w:tc>
        <w:tc>
          <w:tcPr>
            <w:tcW w:w="1980"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1</w:t>
            </w:r>
            <w:bookmarkStart w:id="0" w:name="_GoBack"/>
            <w:bookmarkEnd w:id="0"/>
            <w:r>
              <w:rPr>
                <w:rFonts w:hint="eastAsia" w:ascii="仿宋" w:hAnsi="仿宋" w:eastAsia="仿宋" w:cs="仿宋"/>
                <w:color w:val="000000"/>
                <w:sz w:val="24"/>
              </w:rPr>
              <w:t>台</w:t>
            </w:r>
          </w:p>
        </w:tc>
        <w:tc>
          <w:tcPr>
            <w:tcW w:w="1971" w:type="dxa"/>
            <w:vAlign w:val="center"/>
          </w:tcPr>
          <w:p>
            <w:pPr>
              <w:snapToGrid w:val="0"/>
              <w:jc w:val="center"/>
              <w:rPr>
                <w:rFonts w:ascii="仿宋" w:hAnsi="仿宋" w:eastAsia="仿宋" w:cs="仿宋"/>
                <w:color w:val="000000"/>
                <w:sz w:val="24"/>
              </w:rPr>
            </w:pPr>
            <w:r>
              <w:rPr>
                <w:rFonts w:hint="eastAsia" w:ascii="仿宋" w:hAnsi="仿宋" w:eastAsia="仿宋" w:cs="仿宋"/>
                <w:color w:val="000000"/>
                <w:sz w:val="24"/>
              </w:rPr>
              <w:t>1台</w:t>
            </w:r>
          </w:p>
        </w:tc>
      </w:tr>
    </w:tbl>
    <w:p>
      <w:pPr>
        <w:snapToGrid w:val="0"/>
        <w:spacing w:line="600" w:lineRule="exact"/>
        <w:ind w:firstLine="640" w:firstLineChars="200"/>
        <w:rPr>
          <w:rFonts w:ascii="黑体" w:hAnsi="宋体" w:eastAsia="黑体"/>
          <w:color w:val="000000"/>
          <w:szCs w:val="32"/>
        </w:rPr>
      </w:pPr>
      <w:r>
        <w:rPr>
          <w:rFonts w:hint="eastAsia" w:ascii="黑体" w:hAnsi="宋体" w:eastAsia="黑体"/>
          <w:color w:val="000000"/>
          <w:szCs w:val="32"/>
        </w:rPr>
        <w:t>二、主要检验项目及检验项目属性划分</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9"/>
        <w:gridCol w:w="2029"/>
        <w:gridCol w:w="2268"/>
        <w:gridCol w:w="709"/>
        <w:gridCol w:w="708"/>
        <w:gridCol w:w="709"/>
        <w:gridCol w:w="709"/>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序号</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检验项目</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依据法律</w:t>
            </w:r>
          </w:p>
          <w:p>
            <w:pPr>
              <w:widowControl/>
              <w:jc w:val="center"/>
              <w:rPr>
                <w:rFonts w:ascii="宋体" w:hAnsi="宋体" w:eastAsia="宋体" w:cs="宋体"/>
                <w:sz w:val="24"/>
              </w:rPr>
            </w:pPr>
            <w:r>
              <w:rPr>
                <w:rFonts w:hint="eastAsia" w:ascii="宋体" w:hAnsi="宋体" w:eastAsia="宋体" w:cs="宋体"/>
                <w:sz w:val="24"/>
              </w:rPr>
              <w:t>法规或标准</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强制性</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非强</w:t>
            </w:r>
          </w:p>
          <w:p>
            <w:pPr>
              <w:widowControl/>
              <w:jc w:val="center"/>
              <w:rPr>
                <w:rFonts w:ascii="宋体" w:hAnsi="宋体" w:eastAsia="宋体" w:cs="宋体"/>
                <w:sz w:val="24"/>
              </w:rPr>
            </w:pPr>
            <w:r>
              <w:rPr>
                <w:rFonts w:hint="eastAsia" w:ascii="宋体" w:hAnsi="宋体" w:eastAsia="宋体" w:cs="宋体"/>
                <w:sz w:val="24"/>
              </w:rPr>
              <w:t>制性</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重要项</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较重</w:t>
            </w:r>
          </w:p>
          <w:p>
            <w:pPr>
              <w:widowControl/>
              <w:jc w:val="center"/>
              <w:rPr>
                <w:rFonts w:ascii="宋体" w:hAnsi="宋体" w:eastAsia="宋体" w:cs="宋体"/>
                <w:sz w:val="24"/>
              </w:rPr>
            </w:pPr>
            <w:r>
              <w:rPr>
                <w:rFonts w:hint="eastAsia" w:ascii="宋体" w:hAnsi="宋体" w:eastAsia="宋体" w:cs="宋体"/>
                <w:sz w:val="24"/>
              </w:rPr>
              <w:t>要项</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标志和说明</w:t>
            </w:r>
          </w:p>
        </w:tc>
        <w:tc>
          <w:tcPr>
            <w:tcW w:w="2268" w:type="dxa"/>
            <w:vMerge w:val="restart"/>
            <w:tcBorders>
              <w:top w:val="single" w:color="auto" w:sz="4" w:space="0"/>
              <w:left w:val="single" w:color="auto" w:sz="4" w:space="0"/>
              <w:right w:val="single" w:color="auto" w:sz="4" w:space="0"/>
            </w:tcBorders>
            <w:vAlign w:val="center"/>
          </w:tcPr>
          <w:p>
            <w:pPr>
              <w:snapToGrid w:val="0"/>
              <w:jc w:val="center"/>
              <w:rPr>
                <w:sz w:val="24"/>
              </w:rPr>
            </w:pPr>
            <w:r>
              <w:rPr>
                <w:sz w:val="24"/>
              </w:rPr>
              <w:t>GB 4706.1-</w:t>
            </w:r>
            <w:r>
              <w:rPr>
                <w:rFonts w:hint="eastAsia"/>
                <w:sz w:val="24"/>
              </w:rPr>
              <w:t>1998</w:t>
            </w:r>
          </w:p>
          <w:p>
            <w:pPr>
              <w:snapToGrid w:val="0"/>
              <w:jc w:val="center"/>
              <w:rPr>
                <w:sz w:val="24"/>
              </w:rPr>
            </w:pPr>
            <w:r>
              <w:rPr>
                <w:sz w:val="24"/>
              </w:rPr>
              <w:t>GB 4706.1-2005</w:t>
            </w:r>
          </w:p>
          <w:p>
            <w:pPr>
              <w:snapToGrid w:val="0"/>
              <w:jc w:val="center"/>
              <w:rPr>
                <w:sz w:val="24"/>
              </w:rPr>
            </w:pPr>
            <w:r>
              <w:rPr>
                <w:rFonts w:hint="eastAsia"/>
                <w:sz w:val="24"/>
              </w:rPr>
              <w:t>GB 4706.12-2006</w:t>
            </w:r>
          </w:p>
          <w:p>
            <w:pPr>
              <w:jc w:val="center"/>
              <w:rPr>
                <w:rFonts w:ascii="宋体" w:hAnsi="宋体" w:eastAsia="宋体" w:cs="宋体"/>
                <w:sz w:val="24"/>
              </w:rPr>
            </w:pPr>
            <w:r>
              <w:rPr>
                <w:sz w:val="24"/>
              </w:rPr>
              <w:t>GB 4706.32-2012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r>
              <w:rPr>
                <w:sz w:val="24"/>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2</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对触及带电部件的防护</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3</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输入功率和电流</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4</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发热</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5</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工作温度下的泄漏电流和电气强度</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6</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耐潮湿</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7</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泄漏电流和电气强度</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8</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稳定性和机械危险</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9</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机械强度</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10</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结构</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11</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内部布线</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12</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电源连接及外部软线</w:t>
            </w:r>
          </w:p>
        </w:tc>
        <w:tc>
          <w:tcPr>
            <w:tcW w:w="2268" w:type="dxa"/>
            <w:vMerge w:val="restart"/>
            <w:tcBorders>
              <w:left w:val="single" w:color="auto" w:sz="4" w:space="0"/>
              <w:right w:val="single" w:color="auto" w:sz="4" w:space="0"/>
            </w:tcBorders>
            <w:vAlign w:val="center"/>
          </w:tcPr>
          <w:p>
            <w:pPr>
              <w:snapToGrid w:val="0"/>
              <w:jc w:val="center"/>
              <w:rPr>
                <w:sz w:val="24"/>
              </w:rPr>
            </w:pPr>
            <w:r>
              <w:rPr>
                <w:sz w:val="24"/>
              </w:rPr>
              <w:t>GB 4706.1-</w:t>
            </w:r>
            <w:r>
              <w:rPr>
                <w:rFonts w:hint="eastAsia"/>
                <w:sz w:val="24"/>
              </w:rPr>
              <w:t>1998</w:t>
            </w:r>
          </w:p>
          <w:p>
            <w:pPr>
              <w:snapToGrid w:val="0"/>
              <w:jc w:val="center"/>
              <w:rPr>
                <w:sz w:val="24"/>
              </w:rPr>
            </w:pPr>
            <w:r>
              <w:rPr>
                <w:sz w:val="24"/>
              </w:rPr>
              <w:t>GB 4706.1-2005</w:t>
            </w:r>
          </w:p>
          <w:p>
            <w:pPr>
              <w:snapToGrid w:val="0"/>
              <w:jc w:val="center"/>
              <w:rPr>
                <w:sz w:val="24"/>
              </w:rPr>
            </w:pPr>
            <w:r>
              <w:rPr>
                <w:rFonts w:hint="eastAsia"/>
                <w:sz w:val="24"/>
              </w:rPr>
              <w:t>GB 4706.12-2006</w:t>
            </w:r>
          </w:p>
          <w:p>
            <w:pPr>
              <w:jc w:val="center"/>
              <w:rPr>
                <w:rFonts w:ascii="宋体" w:hAnsi="宋体" w:eastAsia="宋体" w:cs="宋体"/>
                <w:sz w:val="24"/>
              </w:rPr>
            </w:pPr>
            <w:r>
              <w:rPr>
                <w:sz w:val="24"/>
              </w:rPr>
              <w:t>GB 4706.32-2012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13</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外部导线用接线端子</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14</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接地措施</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15</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螺钉和连接</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16</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电气间隙、爬电距离和固体绝缘</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17</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性能系数</w:t>
            </w:r>
          </w:p>
        </w:tc>
        <w:tc>
          <w:tcPr>
            <w:tcW w:w="2268" w:type="dxa"/>
            <w:vMerge w:val="restart"/>
            <w:tcBorders>
              <w:left w:val="single" w:color="auto" w:sz="4" w:space="0"/>
              <w:right w:val="single" w:color="auto" w:sz="4" w:space="0"/>
            </w:tcBorders>
            <w:vAlign w:val="center"/>
          </w:tcPr>
          <w:p>
            <w:pPr>
              <w:snapToGrid w:val="0"/>
              <w:jc w:val="center"/>
              <w:rPr>
                <w:sz w:val="24"/>
              </w:rPr>
            </w:pPr>
            <w:r>
              <w:rPr>
                <w:sz w:val="24"/>
              </w:rPr>
              <w:t>GB/T</w:t>
            </w:r>
            <w:r>
              <w:rPr>
                <w:rFonts w:hint="eastAsia"/>
                <w:sz w:val="24"/>
              </w:rPr>
              <w:t xml:space="preserve"> </w:t>
            </w:r>
            <w:r>
              <w:rPr>
                <w:sz w:val="24"/>
              </w:rPr>
              <w:t>18430.1-2007</w:t>
            </w:r>
          </w:p>
          <w:p>
            <w:pPr>
              <w:snapToGrid w:val="0"/>
              <w:jc w:val="center"/>
              <w:rPr>
                <w:sz w:val="24"/>
              </w:rPr>
            </w:pPr>
            <w:r>
              <w:rPr>
                <w:sz w:val="24"/>
              </w:rPr>
              <w:t>GB/T</w:t>
            </w:r>
            <w:r>
              <w:rPr>
                <w:rFonts w:hint="eastAsia"/>
                <w:sz w:val="24"/>
              </w:rPr>
              <w:t xml:space="preserve"> </w:t>
            </w:r>
            <w:r>
              <w:rPr>
                <w:sz w:val="24"/>
              </w:rPr>
              <w:t>18430.2-2016</w:t>
            </w:r>
          </w:p>
          <w:p>
            <w:pPr>
              <w:snapToGrid w:val="0"/>
              <w:jc w:val="center"/>
              <w:rPr>
                <w:sz w:val="24"/>
              </w:rPr>
            </w:pPr>
            <w:r>
              <w:rPr>
                <w:sz w:val="24"/>
              </w:rPr>
              <w:t>GB/T</w:t>
            </w:r>
            <w:r>
              <w:rPr>
                <w:rFonts w:hint="eastAsia"/>
                <w:sz w:val="24"/>
              </w:rPr>
              <w:t xml:space="preserve"> </w:t>
            </w:r>
            <w:r>
              <w:rPr>
                <w:sz w:val="24"/>
              </w:rPr>
              <w:t>25127.1-2020</w:t>
            </w:r>
          </w:p>
          <w:p>
            <w:pPr>
              <w:snapToGrid w:val="0"/>
              <w:jc w:val="center"/>
              <w:rPr>
                <w:sz w:val="24"/>
              </w:rPr>
            </w:pPr>
            <w:r>
              <w:rPr>
                <w:sz w:val="24"/>
              </w:rPr>
              <w:t>GB/T</w:t>
            </w:r>
            <w:r>
              <w:rPr>
                <w:rFonts w:hint="eastAsia"/>
                <w:sz w:val="24"/>
              </w:rPr>
              <w:t xml:space="preserve"> </w:t>
            </w:r>
            <w:r>
              <w:rPr>
                <w:sz w:val="24"/>
              </w:rPr>
              <w:t>25127.2-2020</w:t>
            </w:r>
          </w:p>
          <w:p>
            <w:pPr>
              <w:jc w:val="center"/>
              <w:rPr>
                <w:sz w:val="24"/>
              </w:rPr>
            </w:pPr>
            <w:r>
              <w:rPr>
                <w:sz w:val="24"/>
              </w:rPr>
              <w:t>GB 19577-2015</w:t>
            </w:r>
          </w:p>
          <w:p>
            <w:pPr>
              <w:jc w:val="center"/>
              <w:rPr>
                <w:rFonts w:ascii="宋体" w:hAnsi="宋体" w:eastAsia="宋体" w:cs="宋体"/>
                <w:sz w:val="24"/>
              </w:rPr>
            </w:pPr>
            <w:r>
              <w:rPr>
                <w:sz w:val="24"/>
              </w:rPr>
              <w:t>GB</w:t>
            </w:r>
            <w:r>
              <w:rPr>
                <w:rFonts w:hint="eastAsia"/>
                <w:sz w:val="24"/>
              </w:rPr>
              <w:t xml:space="preserve"> </w:t>
            </w:r>
            <w:r>
              <w:rPr>
                <w:sz w:val="24"/>
              </w:rPr>
              <w:t>37480-2019</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18</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制热量</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19</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制热消耗功率</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20</w:t>
            </w:r>
          </w:p>
        </w:tc>
        <w:tc>
          <w:tcPr>
            <w:tcW w:w="20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r>
              <w:rPr>
                <w:rFonts w:hint="eastAsia" w:ascii="宋体" w:hAnsi="宋体" w:eastAsia="宋体" w:cs="宋体"/>
                <w:sz w:val="24"/>
              </w:rPr>
              <w:t>能效限定值</w:t>
            </w:r>
          </w:p>
        </w:tc>
        <w:tc>
          <w:tcPr>
            <w:tcW w:w="2268" w:type="dxa"/>
            <w:vMerge w:val="continue"/>
            <w:tcBorders>
              <w:left w:val="single" w:color="auto" w:sz="4" w:space="0"/>
              <w:right w:val="single" w:color="auto" w:sz="4" w:space="0"/>
            </w:tcBorders>
            <w:vAlign w:val="center"/>
          </w:tcPr>
          <w:p>
            <w:pPr>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60" w:after="60"/>
              <w:jc w:val="center"/>
              <w:rPr>
                <w:rFonts w:ascii="宋体" w:hAnsi="宋体" w:eastAsia="宋体" w:cs="宋体"/>
                <w:sz w:val="24"/>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 w:val="24"/>
              </w:rPr>
            </w:pPr>
            <w:r>
              <w:rPr>
                <w:sz w:val="24"/>
              </w:rPr>
              <w:t>●</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sz w:val="24"/>
              </w:rPr>
            </w:pPr>
          </w:p>
        </w:tc>
      </w:tr>
    </w:tbl>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注：执行企业标准、团体标准、地方标准的产品，检验项目参照上述内容执行。</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凡是注日期的文件，其随后所有的修改单（不包括勘误的内容）或修订版不适用于本细则。凡是不注日期的文件，其最新版本适用于本细则。</w:t>
      </w:r>
    </w:p>
    <w:p>
      <w:pPr>
        <w:spacing w:line="360" w:lineRule="auto"/>
        <w:rPr>
          <w:rFonts w:ascii="黑体" w:hAnsi="黑体" w:eastAsia="黑体" w:cs="黑体"/>
          <w:color w:val="000000"/>
          <w:szCs w:val="32"/>
        </w:rPr>
      </w:pPr>
      <w:r>
        <w:rPr>
          <w:rFonts w:hint="eastAsia" w:ascii="黑体" w:hAnsi="黑体" w:eastAsia="黑体" w:cs="黑体"/>
          <w:color w:val="000000"/>
          <w:szCs w:val="32"/>
        </w:rPr>
        <w:t>三、判定规则</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（一）依据标准</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 4706.1-2005《家用和类似用途电器的安全 第一部分：通用要求》</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 4706.1-1998《家用和类似用途电器的安全 第一部分：通用要求》</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 4706.12-2006《家用和类似用途电器的安全储水式热水器的特殊要求》</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 4706.32-2012《家用和类似用途电器的安全热泵、空调器和除湿机的特殊要求》</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GB/T 18430.1-2007《蒸气压缩循环冷水(热泵)机组 第1部分 工业或商业用及类似用途的冷水(热泵)机组》</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GB/T 18430.2-2016《蒸气压缩循环冷水(热泵)机组 第2部分 户用及类似用途的冷水（热泵）机组》</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GB/T 25127.1-2020《低环境温度空气源热泵（冷水）机组 第1部分：工业或商业用及类似用途的热泵（冷水）机组》</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GB/T 25127.2-2020《低环境温度空气源热泵（冷水）机组 第2部分：户用及类似用途的冷水（热泵）机组》</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GB 19577-2015 《冷水机组能效限定值及能效等级》GB GB 37480-2019《低环境温度空气源热泵（冷水）机组能效限定值及能效等级》</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现行有效的企业标准、团体标准、地方标准及产品明示质量要求。</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（二）判定原则</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经检验，检验项目全部合格，判定为被抽查产品合格；检验项目中任一项或一项以上不合格，判定为被抽查产品不合格。</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当被检产品明示的质量要求高于本细则中检验项目依据的标准要求时，应按被检产品明示的质量要求判定。</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当被检产品明示的质量要求低于本细则中检验项目依据的强制性标准要求时，应按照强制性标准要求判定。</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当被检产品明示的质量要求低于或包含本细则中检验项目依据的推荐性标准要求时，应以被检产品明示的质量要求判定。</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当被检产品明示的质量要求缺少本细则中检验项目依据的强制性标准要求时，应按照强制性标准要求判定。</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当被检产品明示的质量要求缺少本细则中检验项目依据的推荐性标准要求时，该项目不参与判定。</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当被检样品未能提供有效的企业标准时，按相关国家或行业标准进行判定。</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当被检样品标签标识中执行标准信息和产品类别信息不明或有误，影响检测和判定时，可根据产品特点等信息判断和选择相关标准进行检验，并应在检验报告中作出相关说明。</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按照产品质量相关法律法规的规定判定。</w:t>
      </w:r>
    </w:p>
    <w:p>
      <w:pPr>
        <w:widowControl/>
        <w:spacing w:line="360" w:lineRule="auto"/>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检验中发现因样品失效或者其他原因致使检验无法进行的，检验人员应如实记录，并提供相关证明材料，报送组织监督抽查的市场监管部门。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4303F"/>
    <w:rsid w:val="00092474"/>
    <w:rsid w:val="000B4A16"/>
    <w:rsid w:val="000C4591"/>
    <w:rsid w:val="001D251C"/>
    <w:rsid w:val="00381DA8"/>
    <w:rsid w:val="003B6A09"/>
    <w:rsid w:val="004017B7"/>
    <w:rsid w:val="00401CC3"/>
    <w:rsid w:val="00497A65"/>
    <w:rsid w:val="00566B6A"/>
    <w:rsid w:val="00677471"/>
    <w:rsid w:val="0084223E"/>
    <w:rsid w:val="00A11EB0"/>
    <w:rsid w:val="00A74189"/>
    <w:rsid w:val="00AD2B54"/>
    <w:rsid w:val="00C524DD"/>
    <w:rsid w:val="00C9616C"/>
    <w:rsid w:val="00CC2AE2"/>
    <w:rsid w:val="00DC1206"/>
    <w:rsid w:val="00DF64CE"/>
    <w:rsid w:val="00EA3AF9"/>
    <w:rsid w:val="00F81F07"/>
    <w:rsid w:val="00FA122C"/>
    <w:rsid w:val="00FB07AA"/>
    <w:rsid w:val="01537940"/>
    <w:rsid w:val="021358C1"/>
    <w:rsid w:val="08731931"/>
    <w:rsid w:val="107D6CF0"/>
    <w:rsid w:val="186B2B9A"/>
    <w:rsid w:val="282C019E"/>
    <w:rsid w:val="2A9E50B3"/>
    <w:rsid w:val="2AFD2C53"/>
    <w:rsid w:val="2C7F4919"/>
    <w:rsid w:val="36C02C25"/>
    <w:rsid w:val="38A256E7"/>
    <w:rsid w:val="3C315A4B"/>
    <w:rsid w:val="3D4E0B08"/>
    <w:rsid w:val="3EDA1C30"/>
    <w:rsid w:val="404C097D"/>
    <w:rsid w:val="46B303F3"/>
    <w:rsid w:val="49A07880"/>
    <w:rsid w:val="4ADC62C2"/>
    <w:rsid w:val="562F2BA3"/>
    <w:rsid w:val="590233BD"/>
    <w:rsid w:val="5F673CE5"/>
    <w:rsid w:val="61A70AD2"/>
    <w:rsid w:val="6A9C0E67"/>
    <w:rsid w:val="6EEE5A3B"/>
    <w:rsid w:val="70792B5B"/>
    <w:rsid w:val="743B4A92"/>
    <w:rsid w:val="7906664A"/>
    <w:rsid w:val="7B6315DB"/>
    <w:rsid w:val="B6DFA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292</Words>
  <Characters>1670</Characters>
  <Lines>13</Lines>
  <Paragraphs>3</Paragraphs>
  <TotalTime>36</TotalTime>
  <ScaleCrop>false</ScaleCrop>
  <LinksUpToDate>false</LinksUpToDate>
  <CharactersWithSpaces>1959</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2021-03-01T09:17:00Z</cp:lastPrinted>
  <dcterms:modified xsi:type="dcterms:W3CDTF">2023-04-06T15:52:52Z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2C8F264929B14C5D8974DDE04BDFCE7A</vt:lpwstr>
  </property>
</Properties>
</file>