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pacing w:val="-16"/>
          <w:sz w:val="44"/>
        </w:rPr>
      </w:pPr>
      <w:r>
        <w:rPr>
          <w:rFonts w:hint="eastAsia" w:ascii="宋体" w:hAnsi="宋体" w:eastAsia="宋体" w:cs="宋体"/>
          <w:b/>
          <w:bCs w:val="0"/>
          <w:spacing w:val="-20"/>
          <w:sz w:val="44"/>
          <w:szCs w:val="44"/>
          <w:lang w:val="en-US" w:eastAsia="zh-CN"/>
        </w:rPr>
        <w:t>配装眼镜产品质量监督抽查实施细则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以随机抽样的方式在被抽查市场主体的待销产品中抽取。</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随机数一般可使用随机数表等方法产生。</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抽查数量：每款产品抽取1组样本用于检验（无备样）。具体抽样数量和方法如下：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698"/>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b/>
                <w:sz w:val="24"/>
              </w:rPr>
            </w:pPr>
            <w:r>
              <w:rPr>
                <w:rFonts w:hint="eastAsia" w:ascii="仿宋_GB2312"/>
                <w:b/>
                <w:sz w:val="24"/>
              </w:rPr>
              <w:t>序号</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b/>
                <w:sz w:val="24"/>
              </w:rPr>
            </w:pPr>
            <w:r>
              <w:rPr>
                <w:rFonts w:hint="eastAsia" w:ascii="仿宋_GB2312"/>
                <w:b/>
                <w:sz w:val="24"/>
              </w:rPr>
              <w:t>产品名称</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b/>
                <w:sz w:val="24"/>
              </w:rPr>
            </w:pPr>
            <w:r>
              <w:rPr>
                <w:rFonts w:hint="eastAsia" w:ascii="仿宋_GB2312"/>
                <w:b/>
                <w:sz w:val="24"/>
              </w:rPr>
              <w:t>第1组数量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1</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配装眼镜</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1副</w:t>
            </w:r>
          </w:p>
        </w:tc>
      </w:tr>
    </w:tbl>
    <w:p>
      <w:pPr>
        <w:widowControl/>
        <w:ind w:firstLine="640" w:firstLineChars="200"/>
        <w:rPr>
          <w:rFonts w:hint="eastAsia" w:ascii="仿宋_GB2312"/>
          <w:kern w:val="0"/>
          <w:szCs w:val="32"/>
        </w:rPr>
      </w:pPr>
      <w:r>
        <w:rPr>
          <w:rFonts w:hint="eastAsia" w:ascii="仿宋_GB2312"/>
          <w:kern w:val="0"/>
          <w:szCs w:val="32"/>
        </w:rPr>
        <w:t>当库存基数少于抽查数量时，可由抽样人员现场开具配装眼镜处方单（含顶焦度、轴位、瞳距等），交抽查市场主体现场制作。为确保样品的完好有效，每一副配装眼镜应附有包含加工制作参数的单据、出厂标识标签等，并有独立完整的包装。在运输和寄送过程中应适当防护，防止样品变形或破损。</w:t>
      </w:r>
    </w:p>
    <w:p>
      <w:pPr>
        <w:ind w:firstLine="640" w:firstLineChars="200"/>
        <w:rPr>
          <w:rFonts w:eastAsia="黑体"/>
          <w:szCs w:val="32"/>
        </w:rPr>
      </w:pPr>
      <w:r>
        <w:rPr>
          <w:rFonts w:eastAsia="黑体"/>
          <w:szCs w:val="32"/>
        </w:rPr>
        <w:t>二、主要检验项目及检验项目属性划分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440"/>
        <w:gridCol w:w="2390"/>
        <w:gridCol w:w="798"/>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7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序号</w:t>
            </w:r>
          </w:p>
        </w:tc>
        <w:tc>
          <w:tcPr>
            <w:tcW w:w="24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检验项目</w:t>
            </w:r>
          </w:p>
        </w:tc>
        <w:tc>
          <w:tcPr>
            <w:tcW w:w="239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检验方法</w:t>
            </w:r>
          </w:p>
        </w:tc>
        <w:tc>
          <w:tcPr>
            <w:tcW w:w="7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强制性</w:t>
            </w: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非强制性</w:t>
            </w: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重要项</w:t>
            </w:r>
          </w:p>
        </w:tc>
        <w:tc>
          <w:tcPr>
            <w:tcW w:w="7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较重要项</w:t>
            </w:r>
          </w:p>
        </w:tc>
        <w:tc>
          <w:tcPr>
            <w:tcW w:w="709" w:type="dxa"/>
            <w:tcBorders>
              <w:top w:val="single" w:color="auto" w:sz="4" w:space="0"/>
              <w:left w:val="single" w:color="auto" w:sz="4" w:space="0"/>
              <w:right w:val="single" w:color="auto" w:sz="4" w:space="0"/>
            </w:tcBorders>
            <w:noWrap/>
            <w:vAlign w:val="center"/>
          </w:tcPr>
          <w:p>
            <w:pPr>
              <w:adjustRightInd w:val="0"/>
              <w:snapToGrid w:val="0"/>
              <w:jc w:val="center"/>
              <w:rPr>
                <w:rFonts w:hint="eastAsia" w:ascii="仿宋_GB2312"/>
                <w:sz w:val="24"/>
              </w:rPr>
            </w:pPr>
            <w:r>
              <w:rPr>
                <w:rFonts w:hint="eastAsia" w:ascii="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w:t>
            </w:r>
          </w:p>
        </w:tc>
        <w:tc>
          <w:tcPr>
            <w:tcW w:w="2440" w:type="dxa"/>
            <w:noWrap/>
            <w:vAlign w:val="center"/>
          </w:tcPr>
          <w:p>
            <w:pPr>
              <w:jc w:val="center"/>
              <w:rPr>
                <w:rFonts w:hint="eastAsia" w:ascii="仿宋_GB2312"/>
                <w:sz w:val="24"/>
              </w:rPr>
            </w:pPr>
            <w:r>
              <w:rPr>
                <w:rFonts w:hint="eastAsia" w:ascii="仿宋_GB2312"/>
                <w:sz w:val="24"/>
              </w:rPr>
              <w:t>镜片表面质量和内在疵病</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10810.1-2005 6.6</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18"/>
                <w:szCs w:val="18"/>
              </w:rPr>
            </w:pPr>
          </w:p>
        </w:tc>
        <w:tc>
          <w:tcPr>
            <w:tcW w:w="708" w:type="dxa"/>
            <w:noWrap/>
            <w:vAlign w:val="center"/>
          </w:tcPr>
          <w:p>
            <w:pPr>
              <w:adjustRightInd w:val="0"/>
              <w:snapToGrid w:val="0"/>
              <w:jc w:val="center"/>
              <w:rPr>
                <w:rFonts w:hint="eastAsia" w:ascii="仿宋_GB2312"/>
                <w:sz w:val="18"/>
                <w:szCs w:val="18"/>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2</w:t>
            </w:r>
          </w:p>
        </w:tc>
        <w:tc>
          <w:tcPr>
            <w:tcW w:w="2440" w:type="dxa"/>
            <w:noWrap/>
            <w:vAlign w:val="center"/>
          </w:tcPr>
          <w:p>
            <w:pPr>
              <w:jc w:val="center"/>
              <w:rPr>
                <w:rFonts w:hint="eastAsia" w:ascii="仿宋_GB2312"/>
                <w:sz w:val="24"/>
              </w:rPr>
            </w:pPr>
            <w:r>
              <w:rPr>
                <w:rFonts w:hint="eastAsia" w:ascii="仿宋_GB2312"/>
                <w:sz w:val="24"/>
              </w:rPr>
              <w:t>镜架外观质量</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GB/T 14214-2003 5.4</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p>
        </w:tc>
        <w:tc>
          <w:tcPr>
            <w:tcW w:w="708" w:type="dxa"/>
            <w:noWrap/>
            <w:vAlign w:val="center"/>
          </w:tcPr>
          <w:p>
            <w:pPr>
              <w:adjustRightInd w:val="0"/>
              <w:snapToGrid w:val="0"/>
              <w:jc w:val="center"/>
              <w:rPr>
                <w:rFonts w:hint="eastAsia" w:ascii="仿宋_GB2312"/>
                <w:sz w:val="18"/>
                <w:szCs w:val="18"/>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3</w:t>
            </w:r>
          </w:p>
        </w:tc>
        <w:tc>
          <w:tcPr>
            <w:tcW w:w="2440" w:type="dxa"/>
            <w:noWrap/>
            <w:vAlign w:val="center"/>
          </w:tcPr>
          <w:p>
            <w:pPr>
              <w:jc w:val="center"/>
              <w:rPr>
                <w:rFonts w:hint="eastAsia" w:ascii="仿宋_GB2312"/>
                <w:sz w:val="24"/>
              </w:rPr>
            </w:pPr>
            <w:r>
              <w:rPr>
                <w:rFonts w:hint="eastAsia" w:ascii="仿宋_GB2312"/>
                <w:sz w:val="24"/>
              </w:rPr>
              <w:t>球镜顶焦度允差（D）</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10810.1-2005 6.1</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adjustRightInd w:val="0"/>
              <w:snapToGrid w:val="0"/>
              <w:jc w:val="center"/>
              <w:rPr>
                <w:rFonts w:hint="eastAsia" w:ascii="仿宋_GB2312"/>
                <w:sz w:val="18"/>
                <w:szCs w:val="18"/>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4</w:t>
            </w:r>
          </w:p>
        </w:tc>
        <w:tc>
          <w:tcPr>
            <w:tcW w:w="2440" w:type="dxa"/>
            <w:noWrap/>
            <w:vAlign w:val="center"/>
          </w:tcPr>
          <w:p>
            <w:pPr>
              <w:jc w:val="center"/>
              <w:rPr>
                <w:rFonts w:hint="eastAsia" w:ascii="仿宋_GB2312"/>
                <w:sz w:val="24"/>
              </w:rPr>
            </w:pPr>
            <w:r>
              <w:rPr>
                <w:rFonts w:hint="eastAsia" w:ascii="仿宋_GB2312"/>
                <w:sz w:val="24"/>
              </w:rPr>
              <w:t>柱镜顶焦度允差（D）</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10810.1-2005 6.1</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5</w:t>
            </w:r>
          </w:p>
        </w:tc>
        <w:tc>
          <w:tcPr>
            <w:tcW w:w="2440" w:type="dxa"/>
            <w:noWrap/>
            <w:vAlign w:val="center"/>
          </w:tcPr>
          <w:p>
            <w:pPr>
              <w:jc w:val="center"/>
              <w:rPr>
                <w:rFonts w:hint="eastAsia" w:ascii="仿宋_GB2312"/>
                <w:sz w:val="24"/>
              </w:rPr>
            </w:pPr>
            <w:r>
              <w:rPr>
                <w:rFonts w:hint="eastAsia" w:ascii="仿宋_GB2312"/>
                <w:sz w:val="24"/>
              </w:rPr>
              <w:t>柱镜轴位允差（°）</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6.3</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6</w:t>
            </w:r>
          </w:p>
        </w:tc>
        <w:tc>
          <w:tcPr>
            <w:tcW w:w="2440" w:type="dxa"/>
            <w:noWrap/>
            <w:vAlign w:val="center"/>
          </w:tcPr>
          <w:p>
            <w:pPr>
              <w:jc w:val="center"/>
              <w:rPr>
                <w:rFonts w:hint="eastAsia" w:ascii="仿宋_GB2312"/>
                <w:sz w:val="24"/>
              </w:rPr>
            </w:pPr>
            <w:r>
              <w:rPr>
                <w:rFonts w:hint="eastAsia" w:ascii="仿宋_GB2312"/>
                <w:sz w:val="24"/>
              </w:rPr>
              <w:t>棱镜度允差（Δ）</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6.5</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7</w:t>
            </w:r>
          </w:p>
        </w:tc>
        <w:tc>
          <w:tcPr>
            <w:tcW w:w="2440" w:type="dxa"/>
            <w:noWrap/>
            <w:vAlign w:val="center"/>
          </w:tcPr>
          <w:p>
            <w:pPr>
              <w:jc w:val="center"/>
              <w:rPr>
                <w:rFonts w:hint="eastAsia" w:ascii="仿宋_GB2312"/>
                <w:sz w:val="24"/>
              </w:rPr>
            </w:pPr>
            <w:r>
              <w:rPr>
                <w:rFonts w:hint="eastAsia" w:ascii="仿宋_GB2312"/>
                <w:sz w:val="24"/>
              </w:rPr>
              <w:t>附加顶焦度（D）</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10810.1-2005 6.4</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18"/>
                <w:szCs w:val="18"/>
              </w:rPr>
            </w:pPr>
            <w:r>
              <w:rPr>
                <w:rFonts w:hint="eastAsia" w:ascii="仿宋_GB2312"/>
                <w:sz w:val="20"/>
              </w:rPr>
              <w:t>●</w:t>
            </w:r>
          </w:p>
        </w:tc>
        <w:tc>
          <w:tcPr>
            <w:tcW w:w="708" w:type="dxa"/>
            <w:noWrap/>
            <w:vAlign w:val="center"/>
          </w:tcPr>
          <w:p>
            <w:pPr>
              <w:adjustRightInd w:val="0"/>
              <w:snapToGrid w:val="0"/>
              <w:jc w:val="center"/>
              <w:rPr>
                <w:rFonts w:hint="eastAsia" w:ascii="仿宋_GB2312"/>
                <w:sz w:val="18"/>
                <w:szCs w:val="18"/>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8</w:t>
            </w:r>
          </w:p>
        </w:tc>
        <w:tc>
          <w:tcPr>
            <w:tcW w:w="2440" w:type="dxa"/>
            <w:noWrap/>
            <w:vAlign w:val="center"/>
          </w:tcPr>
          <w:p>
            <w:pPr>
              <w:jc w:val="center"/>
              <w:rPr>
                <w:rFonts w:hint="eastAsia" w:ascii="仿宋_GB2312"/>
                <w:sz w:val="24"/>
              </w:rPr>
            </w:pPr>
            <w:r>
              <w:rPr>
                <w:rFonts w:hint="eastAsia" w:ascii="仿宋_GB2312"/>
                <w:sz w:val="24"/>
              </w:rPr>
              <w:t>光学中心单侧水平允差（mm）</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6.4</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9</w:t>
            </w:r>
          </w:p>
        </w:tc>
        <w:tc>
          <w:tcPr>
            <w:tcW w:w="2440" w:type="dxa"/>
            <w:noWrap/>
            <w:vAlign w:val="center"/>
          </w:tcPr>
          <w:p>
            <w:pPr>
              <w:jc w:val="center"/>
              <w:rPr>
                <w:rFonts w:hint="eastAsia" w:ascii="仿宋_GB2312"/>
                <w:sz w:val="24"/>
              </w:rPr>
            </w:pPr>
            <w:r>
              <w:rPr>
                <w:rFonts w:hint="eastAsia" w:ascii="仿宋_GB2312"/>
                <w:sz w:val="24"/>
              </w:rPr>
              <w:t>光学中心垂直互差（mm）</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6.4</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10</w:t>
            </w:r>
          </w:p>
        </w:tc>
        <w:tc>
          <w:tcPr>
            <w:tcW w:w="2440" w:type="dxa"/>
            <w:noWrap/>
            <w:vAlign w:val="center"/>
          </w:tcPr>
          <w:p>
            <w:pPr>
              <w:jc w:val="center"/>
              <w:rPr>
                <w:rFonts w:hint="eastAsia" w:ascii="仿宋_GB2312"/>
                <w:sz w:val="24"/>
              </w:rPr>
            </w:pPr>
            <w:r>
              <w:rPr>
                <w:rFonts w:hint="eastAsia" w:ascii="仿宋_GB2312"/>
                <w:sz w:val="24"/>
              </w:rPr>
              <w:t>光学中心水平距离偏差（mm）</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6.4</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jc w:val="center"/>
              <w:rPr>
                <w:rFonts w:hint="eastAsia" w:ascii="仿宋_GB2312"/>
                <w:sz w:val="20"/>
              </w:rPr>
            </w:pPr>
            <w:r>
              <w:rPr>
                <w:rFonts w:hint="eastAsia" w:ascii="仿宋_GB2312"/>
                <w:sz w:val="20"/>
              </w:rPr>
              <w:t>●</w:t>
            </w:r>
          </w:p>
        </w:tc>
        <w:tc>
          <w:tcPr>
            <w:tcW w:w="708"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11</w:t>
            </w:r>
          </w:p>
        </w:tc>
        <w:tc>
          <w:tcPr>
            <w:tcW w:w="2440" w:type="dxa"/>
            <w:noWrap/>
            <w:vAlign w:val="center"/>
          </w:tcPr>
          <w:p>
            <w:pPr>
              <w:jc w:val="center"/>
              <w:rPr>
                <w:rFonts w:hint="eastAsia" w:ascii="仿宋_GB2312"/>
                <w:sz w:val="24"/>
              </w:rPr>
            </w:pPr>
            <w:r>
              <w:rPr>
                <w:rFonts w:hint="eastAsia" w:ascii="仿宋_GB2312"/>
                <w:sz w:val="24"/>
              </w:rPr>
              <w:t>可见光谱区透射比（%）</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10810.3-2006 6.4</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18"/>
                <w:szCs w:val="18"/>
              </w:rPr>
            </w:pPr>
          </w:p>
        </w:tc>
        <w:tc>
          <w:tcPr>
            <w:tcW w:w="708" w:type="dxa"/>
            <w:noWrap/>
            <w:vAlign w:val="center"/>
          </w:tcPr>
          <w:p>
            <w:pPr>
              <w:adjustRightInd w:val="0"/>
              <w:snapToGrid w:val="0"/>
              <w:jc w:val="center"/>
              <w:rPr>
                <w:rFonts w:hint="eastAsia" w:ascii="仿宋_GB2312"/>
                <w:sz w:val="18"/>
                <w:szCs w:val="18"/>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12</w:t>
            </w:r>
          </w:p>
        </w:tc>
        <w:tc>
          <w:tcPr>
            <w:tcW w:w="2440" w:type="dxa"/>
            <w:noWrap/>
            <w:vAlign w:val="center"/>
          </w:tcPr>
          <w:p>
            <w:pPr>
              <w:jc w:val="center"/>
              <w:rPr>
                <w:rFonts w:hint="eastAsia" w:ascii="仿宋_GB2312"/>
                <w:sz w:val="24"/>
              </w:rPr>
            </w:pPr>
            <w:r>
              <w:rPr>
                <w:rFonts w:hint="eastAsia" w:ascii="仿宋_GB2312"/>
                <w:sz w:val="24"/>
              </w:rPr>
              <w:t>紫外光谱区透射比（%）</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10810.3-2006 6.5</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0"/>
              </w:rPr>
            </w:pPr>
          </w:p>
        </w:tc>
        <w:tc>
          <w:tcPr>
            <w:tcW w:w="708" w:type="dxa"/>
            <w:noWrap/>
            <w:vAlign w:val="center"/>
          </w:tcPr>
          <w:p>
            <w:pPr>
              <w:adjustRightInd w:val="0"/>
              <w:snapToGrid w:val="0"/>
              <w:jc w:val="center"/>
              <w:rPr>
                <w:rFonts w:hint="eastAsia" w:ascii="仿宋_GB2312"/>
                <w:sz w:val="18"/>
                <w:szCs w:val="18"/>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13</w:t>
            </w:r>
          </w:p>
        </w:tc>
        <w:tc>
          <w:tcPr>
            <w:tcW w:w="2440" w:type="dxa"/>
            <w:noWrap/>
            <w:vAlign w:val="center"/>
          </w:tcPr>
          <w:p>
            <w:pPr>
              <w:jc w:val="center"/>
              <w:rPr>
                <w:rFonts w:hint="eastAsia" w:ascii="仿宋_GB2312"/>
                <w:sz w:val="24"/>
              </w:rPr>
            </w:pPr>
            <w:r>
              <w:rPr>
                <w:rFonts w:hint="eastAsia" w:ascii="仿宋_GB2312"/>
                <w:sz w:val="24"/>
              </w:rPr>
              <w:t>镜片厚度</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10810.1-2005 5.2.2</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0"/>
              </w:rPr>
            </w:pPr>
          </w:p>
        </w:tc>
        <w:tc>
          <w:tcPr>
            <w:tcW w:w="708" w:type="dxa"/>
            <w:noWrap/>
            <w:vAlign w:val="center"/>
          </w:tcPr>
          <w:p>
            <w:pPr>
              <w:adjustRightInd w:val="0"/>
              <w:snapToGrid w:val="0"/>
              <w:jc w:val="center"/>
              <w:rPr>
                <w:rFonts w:hint="eastAsia" w:ascii="仿宋_GB2312"/>
                <w:sz w:val="20"/>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14</w:t>
            </w:r>
          </w:p>
        </w:tc>
        <w:tc>
          <w:tcPr>
            <w:tcW w:w="2440" w:type="dxa"/>
            <w:noWrap/>
            <w:vAlign w:val="center"/>
          </w:tcPr>
          <w:p>
            <w:pPr>
              <w:jc w:val="center"/>
              <w:rPr>
                <w:rFonts w:hint="eastAsia" w:ascii="仿宋_GB2312"/>
                <w:sz w:val="24"/>
              </w:rPr>
            </w:pPr>
            <w:r>
              <w:rPr>
                <w:rFonts w:hint="eastAsia" w:ascii="仿宋_GB2312"/>
                <w:sz w:val="24"/>
              </w:rPr>
              <w:t>镜片色泽</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5.2</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0"/>
              </w:rPr>
            </w:pPr>
          </w:p>
        </w:tc>
        <w:tc>
          <w:tcPr>
            <w:tcW w:w="708" w:type="dxa"/>
            <w:noWrap/>
            <w:vAlign w:val="center"/>
          </w:tcPr>
          <w:p>
            <w:pPr>
              <w:adjustRightInd w:val="0"/>
              <w:snapToGrid w:val="0"/>
              <w:jc w:val="center"/>
              <w:rPr>
                <w:rFonts w:hint="eastAsia" w:ascii="仿宋_GB2312"/>
                <w:sz w:val="18"/>
                <w:szCs w:val="18"/>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15</w:t>
            </w:r>
          </w:p>
        </w:tc>
        <w:tc>
          <w:tcPr>
            <w:tcW w:w="2440" w:type="dxa"/>
            <w:noWrap/>
            <w:vAlign w:val="center"/>
          </w:tcPr>
          <w:p>
            <w:pPr>
              <w:jc w:val="center"/>
              <w:rPr>
                <w:rFonts w:hint="eastAsia" w:ascii="仿宋_GB2312"/>
                <w:sz w:val="24"/>
              </w:rPr>
            </w:pPr>
            <w:r>
              <w:rPr>
                <w:rFonts w:hint="eastAsia" w:ascii="仿宋_GB2312"/>
                <w:sz w:val="24"/>
              </w:rPr>
              <w:t>装配质量</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5.8</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0"/>
              </w:rPr>
            </w:pPr>
          </w:p>
        </w:tc>
        <w:tc>
          <w:tcPr>
            <w:tcW w:w="708" w:type="dxa"/>
            <w:noWrap/>
            <w:vAlign w:val="center"/>
          </w:tcPr>
          <w:p>
            <w:pPr>
              <w:adjustRightInd w:val="0"/>
              <w:snapToGrid w:val="0"/>
              <w:jc w:val="center"/>
              <w:rPr>
                <w:rFonts w:hint="eastAsia" w:ascii="仿宋_GB2312"/>
                <w:sz w:val="20"/>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0" w:type="dxa"/>
            <w:noWrap/>
            <w:vAlign w:val="center"/>
          </w:tcPr>
          <w:p>
            <w:pPr>
              <w:adjustRightInd w:val="0"/>
              <w:snapToGrid w:val="0"/>
              <w:jc w:val="center"/>
              <w:rPr>
                <w:rFonts w:hint="eastAsia" w:ascii="仿宋_GB2312"/>
                <w:sz w:val="24"/>
              </w:rPr>
            </w:pPr>
            <w:r>
              <w:rPr>
                <w:rFonts w:hint="eastAsia" w:ascii="仿宋_GB2312"/>
                <w:sz w:val="24"/>
              </w:rPr>
              <w:t>16</w:t>
            </w:r>
          </w:p>
        </w:tc>
        <w:tc>
          <w:tcPr>
            <w:tcW w:w="2440" w:type="dxa"/>
            <w:noWrap/>
            <w:vAlign w:val="center"/>
          </w:tcPr>
          <w:p>
            <w:pPr>
              <w:jc w:val="center"/>
              <w:rPr>
                <w:rFonts w:hint="eastAsia" w:ascii="仿宋_GB2312"/>
                <w:sz w:val="24"/>
              </w:rPr>
            </w:pPr>
            <w:r>
              <w:rPr>
                <w:rFonts w:hint="eastAsia" w:ascii="仿宋_GB2312"/>
                <w:sz w:val="24"/>
              </w:rPr>
              <w:t>标志</w:t>
            </w:r>
          </w:p>
        </w:tc>
        <w:tc>
          <w:tcPr>
            <w:tcW w:w="2390" w:type="dxa"/>
            <w:noWrap/>
            <w:vAlign w:val="center"/>
          </w:tcPr>
          <w:p>
            <w:pPr>
              <w:adjustRightInd w:val="0"/>
              <w:snapToGrid w:val="0"/>
              <w:jc w:val="center"/>
              <w:rPr>
                <w:rFonts w:hint="eastAsia" w:ascii="仿宋_GB2312"/>
                <w:spacing w:val="-6"/>
                <w:sz w:val="24"/>
              </w:rPr>
            </w:pPr>
            <w:r>
              <w:rPr>
                <w:rFonts w:hint="eastAsia" w:ascii="仿宋_GB2312"/>
                <w:spacing w:val="-6"/>
                <w:sz w:val="24"/>
              </w:rPr>
              <w:t>GB 13511.1-2011 7.1b)</w:t>
            </w:r>
          </w:p>
        </w:tc>
        <w:tc>
          <w:tcPr>
            <w:tcW w:w="798" w:type="dxa"/>
            <w:noWrap/>
            <w:vAlign w:val="center"/>
          </w:tcPr>
          <w:p>
            <w:pPr>
              <w:jc w:val="center"/>
              <w:rPr>
                <w:rFonts w:hint="eastAsia" w:ascii="仿宋_GB2312"/>
                <w:sz w:val="20"/>
              </w:rPr>
            </w:pPr>
            <w:r>
              <w:rPr>
                <w:rFonts w:hint="eastAsia" w:ascii="仿宋_GB2312"/>
                <w:sz w:val="20"/>
              </w:rPr>
              <w:t>●</w:t>
            </w:r>
          </w:p>
        </w:tc>
        <w:tc>
          <w:tcPr>
            <w:tcW w:w="709" w:type="dxa"/>
            <w:noWrap/>
            <w:vAlign w:val="center"/>
          </w:tcPr>
          <w:p>
            <w:pPr>
              <w:jc w:val="center"/>
              <w:rPr>
                <w:rFonts w:hint="eastAsia" w:ascii="仿宋_GB2312"/>
                <w:sz w:val="20"/>
              </w:rPr>
            </w:pPr>
          </w:p>
        </w:tc>
        <w:tc>
          <w:tcPr>
            <w:tcW w:w="709" w:type="dxa"/>
            <w:noWrap/>
            <w:vAlign w:val="center"/>
          </w:tcPr>
          <w:p>
            <w:pPr>
              <w:adjustRightInd w:val="0"/>
              <w:snapToGrid w:val="0"/>
              <w:jc w:val="center"/>
              <w:rPr>
                <w:rFonts w:hint="eastAsia" w:ascii="仿宋_GB2312"/>
                <w:sz w:val="20"/>
              </w:rPr>
            </w:pPr>
          </w:p>
        </w:tc>
        <w:tc>
          <w:tcPr>
            <w:tcW w:w="708" w:type="dxa"/>
            <w:noWrap/>
            <w:vAlign w:val="center"/>
          </w:tcPr>
          <w:p>
            <w:pPr>
              <w:adjustRightInd w:val="0"/>
              <w:snapToGrid w:val="0"/>
              <w:jc w:val="center"/>
              <w:rPr>
                <w:rFonts w:hint="eastAsia" w:ascii="仿宋_GB2312"/>
                <w:sz w:val="20"/>
              </w:rPr>
            </w:pPr>
            <w:r>
              <w:rPr>
                <w:rFonts w:hint="eastAsia" w:ascii="仿宋_GB2312"/>
                <w:sz w:val="20"/>
              </w:rPr>
              <w:t>●</w:t>
            </w:r>
          </w:p>
        </w:tc>
        <w:tc>
          <w:tcPr>
            <w:tcW w:w="709" w:type="dxa"/>
            <w:noWrap/>
            <w:vAlign w:val="center"/>
          </w:tcPr>
          <w:p>
            <w:pPr>
              <w:adjustRightInd w:val="0"/>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3" w:type="dxa"/>
            <w:gridSpan w:val="8"/>
            <w:noWrap/>
            <w:vAlign w:val="center"/>
          </w:tcPr>
          <w:p>
            <w:pPr>
              <w:tabs>
                <w:tab w:val="left" w:pos="360"/>
              </w:tabs>
              <w:snapToGrid w:val="0"/>
              <w:ind w:right="-28"/>
              <w:rPr>
                <w:rFonts w:hint="eastAsia" w:ascii="仿宋_GB2312"/>
                <w:sz w:val="24"/>
              </w:rPr>
            </w:pPr>
            <w:r>
              <w:rPr>
                <w:rFonts w:hint="eastAsia" w:ascii="仿宋_GB2312"/>
                <w:sz w:val="24"/>
              </w:rPr>
              <w:t>注：</w:t>
            </w:r>
          </w:p>
          <w:p>
            <w:pPr>
              <w:pStyle w:val="14"/>
              <w:numPr>
                <w:ilvl w:val="0"/>
                <w:numId w:val="1"/>
              </w:numPr>
              <w:tabs>
                <w:tab w:val="left" w:pos="360"/>
              </w:tabs>
              <w:snapToGrid w:val="0"/>
              <w:ind w:right="-28" w:firstLineChars="0"/>
              <w:rPr>
                <w:rFonts w:hint="eastAsia" w:ascii="仿宋_GB2312"/>
                <w:kern w:val="0"/>
                <w:sz w:val="24"/>
              </w:rPr>
            </w:pPr>
            <w:r>
              <w:rPr>
                <w:rFonts w:hint="eastAsia" w:ascii="仿宋_GB2312"/>
                <w:kern w:val="0"/>
                <w:sz w:val="24"/>
              </w:rPr>
              <w:t>定配眼镜所用镜片有染色时透射比应符合GB10810.3 5.3要求，使用光致变色镜片时透射比应符合GB 10810.3 5.5要求，当定配眼镜明示可适合作驾驶镜时透射比应符合GB 10810.3 5.4要求。</w:t>
            </w:r>
          </w:p>
          <w:p>
            <w:pPr>
              <w:snapToGrid w:val="0"/>
              <w:ind w:left="360" w:right="-28" w:hanging="360" w:hangingChars="150"/>
              <w:rPr>
                <w:rFonts w:hint="eastAsia" w:ascii="仿宋_GB2312"/>
                <w:kern w:val="0"/>
                <w:sz w:val="24"/>
              </w:rPr>
            </w:pPr>
            <w:r>
              <w:rPr>
                <w:rFonts w:hint="eastAsia" w:ascii="仿宋_GB2312"/>
                <w:kern w:val="0"/>
                <w:sz w:val="24"/>
              </w:rPr>
              <w:t>2、标志项目包括定配眼镜的顶焦度、轴位、瞳距等涉及处方、标准中要求有标称值的参数。</w:t>
            </w:r>
          </w:p>
          <w:p>
            <w:pPr>
              <w:tabs>
                <w:tab w:val="left" w:pos="360"/>
              </w:tabs>
              <w:snapToGrid w:val="0"/>
              <w:ind w:right="-28"/>
              <w:rPr>
                <w:rFonts w:hint="eastAsia" w:ascii="仿宋_GB2312"/>
                <w:sz w:val="24"/>
              </w:rPr>
            </w:pPr>
            <w:r>
              <w:rPr>
                <w:rFonts w:hint="eastAsia" w:ascii="仿宋_GB2312"/>
                <w:kern w:val="0"/>
                <w:sz w:val="24"/>
              </w:rPr>
              <w:t>3、当处方中包含本表中未列的参数，这些参数也应符合GB13511.1要求。</w:t>
            </w:r>
          </w:p>
        </w:tc>
      </w:tr>
    </w:tbl>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注：执行企业标准、团体标准、地方标准的产品，检验项目参照上述内容执行。</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凡是注日期的文件，其随后所有的修改单（不包括勘误的内容）或修订版不适用于本细则。凡是不注日期的文件，其最新版本适用于本细则。</w:t>
      </w:r>
    </w:p>
    <w:p>
      <w:pPr>
        <w:adjustRightInd w:val="0"/>
        <w:snapToGrid w:val="0"/>
        <w:ind w:firstLine="640" w:firstLineChars="200"/>
        <w:rPr>
          <w:rFonts w:eastAsia="黑体"/>
          <w:szCs w:val="32"/>
        </w:rPr>
      </w:pPr>
      <w:r>
        <w:rPr>
          <w:rFonts w:eastAsia="黑体"/>
          <w:szCs w:val="32"/>
        </w:rPr>
        <w:t>三、判定规则</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（一）依据标准</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1. 强制性标准。</w:t>
      </w:r>
    </w:p>
    <w:p>
      <w:pPr>
        <w:widowControl/>
        <w:autoSpaceDN w:val="0"/>
        <w:ind w:firstLine="640" w:firstLineChars="200"/>
        <w:rPr>
          <w:rFonts w:hint="eastAsia" w:ascii="仿宋_GB2312"/>
          <w:kern w:val="0"/>
          <w:szCs w:val="32"/>
        </w:rPr>
      </w:pPr>
      <w:r>
        <w:rPr>
          <w:rFonts w:hint="eastAsia" w:ascii="仿宋_GB2312"/>
          <w:kern w:val="0"/>
          <w:szCs w:val="32"/>
        </w:rPr>
        <w:t>GB 13511</w:t>
      </w:r>
      <w:bookmarkStart w:id="0" w:name="_GoBack"/>
      <w:bookmarkEnd w:id="0"/>
      <w:r>
        <w:rPr>
          <w:rFonts w:hint="eastAsia" w:ascii="仿宋_GB2312"/>
          <w:kern w:val="0"/>
          <w:szCs w:val="32"/>
        </w:rPr>
        <w:t>.1-2011 《配装眼镜 第1部分：单光和多焦点》</w:t>
      </w:r>
    </w:p>
    <w:p>
      <w:pPr>
        <w:widowControl/>
        <w:autoSpaceDN w:val="0"/>
        <w:ind w:firstLine="640" w:firstLineChars="200"/>
        <w:rPr>
          <w:rFonts w:hint="eastAsia" w:ascii="仿宋_GB2312"/>
          <w:kern w:val="0"/>
          <w:szCs w:val="32"/>
        </w:rPr>
      </w:pPr>
      <w:r>
        <w:rPr>
          <w:rFonts w:hint="eastAsia" w:ascii="仿宋_GB2312"/>
          <w:kern w:val="0"/>
          <w:szCs w:val="32"/>
        </w:rPr>
        <w:t>GB 10810.1-2005 《眼镜镜片 第1部分：单光和多焦点镜片》</w:t>
      </w:r>
    </w:p>
    <w:p>
      <w:pPr>
        <w:widowControl/>
        <w:autoSpaceDN w:val="0"/>
        <w:ind w:firstLine="640" w:firstLineChars="200"/>
        <w:rPr>
          <w:rFonts w:hint="eastAsia" w:ascii="仿宋_GB2312"/>
          <w:kern w:val="0"/>
          <w:szCs w:val="32"/>
        </w:rPr>
      </w:pPr>
      <w:r>
        <w:rPr>
          <w:rFonts w:hint="eastAsia" w:ascii="仿宋_GB2312"/>
          <w:kern w:val="0"/>
          <w:szCs w:val="32"/>
        </w:rPr>
        <w:t>GB 10810.3-2006 《眼镜镜片及相关眼镜产品 透射比规范及测量方法》</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2.推荐性标准。</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GB/T 14214-2003 《眼镜架  通用要求和试验方法》</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现行有效的企业标准、团体标准、地方标准及产品明示质量要求。</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（二）判定原则</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经检验，检验项目全部合格，判定为抽取的样本所检项目未检出不合格；检验项目中任一项或一项以上不合格，判定为被抽查产品不合格。</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当被检样品明示的质量要求优于监督抽查实施细则中依据的标准要求时，应按被检样品明示的质量要求判定；</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当被检样品明示的质量要求劣于或不包含监督抽查实施细则中依据的强制性标准要求时，应按照强制性标准要求判定；</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当被检样品明示的质量要求不包含监督抽查实施细则中依据的推荐性标准要求时，该指标不参与判定，但应在检验报告中作出说明；</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当被检样品未能提供有效的企业标准时，按相关国家或行业标准进行判定；</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按照产品质量相关法律法规的规定判定。</w:t>
      </w:r>
    </w:p>
    <w:p>
      <w:pPr>
        <w:widowControl/>
        <w:autoSpaceDN w:val="0"/>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检验中发现因样品失效或者其他原因致使检验无法进行的，检验人员应如实记录，并提供相关证明材料，报送组织监督抽查的市场监管部门。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8230A"/>
    <w:multiLevelType w:val="multilevel"/>
    <w:tmpl w:val="06E823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38A256E7"/>
    <w:rsid w:val="3C315A4B"/>
    <w:rsid w:val="46B303F3"/>
    <w:rsid w:val="543B484E"/>
    <w:rsid w:val="562F2BA3"/>
    <w:rsid w:val="590233BD"/>
    <w:rsid w:val="5F1F445B"/>
    <w:rsid w:val="6A9C0E67"/>
    <w:rsid w:val="6EA1734C"/>
    <w:rsid w:val="6EEE5A3B"/>
    <w:rsid w:val="6FE7234F"/>
    <w:rsid w:val="768102D7"/>
    <w:rsid w:val="777B472A"/>
    <w:rsid w:val="7906664A"/>
    <w:rsid w:val="7B6315DB"/>
    <w:rsid w:val="FFF4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1420</Words>
  <Characters>1744</Characters>
  <Lines>23</Lines>
  <Paragraphs>6</Paragraphs>
  <TotalTime>1</TotalTime>
  <ScaleCrop>false</ScaleCrop>
  <LinksUpToDate>false</LinksUpToDate>
  <CharactersWithSpaces>1795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2020-07-22T09:55:00Z</cp:lastPrinted>
  <dcterms:modified xsi:type="dcterms:W3CDTF">2023-04-06T15:45:17Z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9DE52FE7CC5D4ED480B6885131A0D06D</vt:lpwstr>
  </property>
</Properties>
</file>